
<file path=[Content_Types].xml><?xml version="1.0" encoding="utf-8"?>
<Types xmlns="http://schemas.openxmlformats.org/package/2006/content-types">
  <Default Extension="xml" ContentType="application/xml"/>
  <Default Extension="png" ContentType="image/png"/>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45"/>
      </w:tblGrid>
      <w:tr w14:paraId="76FF7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AA06E94">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7BF0A6A">
            <w:pPr>
              <w:pStyle w:val="19"/>
              <w:framePr w:wrap="notBeside" w:vAnchor="page" w:hAnchor="page" w:x="1372" w:y="568"/>
              <w:tabs>
                <w:tab w:val="clear" w:pos="4153"/>
                <w:tab w:val="clear" w:pos="8306"/>
              </w:tabs>
              <w:spacing w:line="240" w:lineRule="auto"/>
              <w:ind w:left="3"/>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25.160.01</w:t>
            </w:r>
            <w:r>
              <w:rPr>
                <w:rFonts w:ascii="黑体" w:hAnsi="黑体" w:eastAsia="黑体"/>
                <w:sz w:val="21"/>
                <w:szCs w:val="21"/>
              </w:rPr>
              <w:fldChar w:fldCharType="end"/>
            </w:r>
            <w:bookmarkEnd w:id="0"/>
          </w:p>
        </w:tc>
      </w:tr>
      <w:tr w14:paraId="267C7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2B895B1">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E538E07">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J33</w:t>
            </w:r>
            <w:r>
              <w:rPr>
                <w:rFonts w:ascii="黑体" w:hAnsi="黑体" w:eastAsia="黑体"/>
                <w:sz w:val="21"/>
                <w:szCs w:val="21"/>
              </w:rPr>
              <w:fldChar w:fldCharType="end"/>
            </w:r>
            <w:bookmarkEnd w:id="1"/>
          </w:p>
        </w:tc>
      </w:tr>
    </w:tbl>
    <w:p w14:paraId="10E7AB56">
      <w:pPr>
        <w:pStyle w:val="51"/>
        <w:framePr w:w="9639" w:h="624" w:hRule="exact" w:hSpace="181" w:vSpace="181" w:wrap="around" w:hAnchor="page" w:x="1305" w:y="2269"/>
        <w:rPr>
          <w:rFonts w:hint="eastAsia" w:ascii="黑体" w:hAnsi="黑体" w:eastAsia="黑体"/>
          <w:b w:val="0"/>
          <w:bCs w:val="0"/>
          <w:w w:val="100"/>
          <w:sz w:val="48"/>
          <w:szCs w:val="48"/>
        </w:rPr>
      </w:pPr>
      <w:bookmarkStart w:id="2" w:name="_Hlk26473981"/>
      <w:r>
        <w:rPr>
          <w:rFonts w:hint="eastAsia" w:ascii="黑体" w:hAnsi="黑体" w:eastAsia="黑体"/>
          <w:b w:val="0"/>
          <w:bCs w:val="0"/>
          <w:w w:val="100"/>
          <w:sz w:val="48"/>
          <w:szCs w:val="48"/>
        </w:rPr>
        <w:t>中华人民共和国国家标准化指导性技术文件</w:t>
      </w:r>
    </w:p>
    <w:bookmarkEnd w:id="2"/>
    <w:p w14:paraId="22A4C42E">
      <w:pPr>
        <w:pStyle w:val="196"/>
      </w:pPr>
      <w:r>
        <w:fldChar w:fldCharType="begin">
          <w:ffData>
            <w:name w:val="文字1"/>
            <w:enabled/>
            <w:calcOnExit w:val="0"/>
            <w:textInput>
              <w:default w:val="GB/Z"/>
            </w:textInput>
          </w:ffData>
        </w:fldChar>
      </w:r>
      <w:bookmarkStart w:id="3" w:name="文字1"/>
      <w:r>
        <w:instrText xml:space="preserve"> FORMTEXT </w:instrText>
      </w:r>
      <w:r>
        <w:fldChar w:fldCharType="separate"/>
      </w:r>
      <w:r>
        <w:t>GB/Z</w:t>
      </w:r>
      <w:r>
        <w:fldChar w:fldCharType="end"/>
      </w:r>
      <w:bookmarkEnd w:id="3"/>
      <w:r>
        <w:t xml:space="preserve"> </w:t>
      </w:r>
      <w:r>
        <w:fldChar w:fldCharType="begin">
          <w:ffData>
            <w:name w:val="NSTD_CODE_F"/>
            <w:enabled/>
            <w:calcOnExit w:val="0"/>
            <w:textInput>
              <w:default w:val="XXXXX"/>
            </w:textInput>
          </w:ffData>
        </w:fldChar>
      </w:r>
      <w:bookmarkStart w:id="4" w:name="NSTD_CODE_F"/>
      <w:r>
        <w:instrText xml:space="preserve"> FORMTEXT </w:instrText>
      </w:r>
      <w:r>
        <w:fldChar w:fldCharType="separate"/>
      </w:r>
      <w:r>
        <w:t>XXXXX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14:paraId="2606EC8F">
      <w:pPr>
        <w:pStyle w:val="197"/>
        <w:rPr>
          <w:rFonts w:hint="eastAsia"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72ADE73D">
      <w:pPr>
        <w:spacing w:line="240" w:lineRule="auto"/>
        <w:ind w:left="8080"/>
        <w:rPr>
          <w:rFonts w:hint="eastAsia" w:ascii="黑体" w:hAnsi="黑体" w:eastAsia="黑体"/>
          <w:kern w:val="0"/>
          <w:sz w:val="52"/>
          <w:szCs w:val="20"/>
        </w:rPr>
      </w:pPr>
      <w:r>
        <w:rPr>
          <w:rFonts w:ascii="黑体" w:hAnsi="黑体" w:eastAsia="黑体"/>
          <w:kern w:val="0"/>
          <w:sz w:val="52"/>
          <w:szCs w:val="2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r>
        <w:rPr>
          <w:rFonts w:ascii="黑体" w:hAnsi="黑体" w:eastAsia="黑体"/>
          <w:kern w:val="0"/>
          <w:sz w:val="52"/>
          <w:szCs w:val="20"/>
        </w:rPr>
        <w:drawing>
          <wp:anchor distT="0" distB="0" distL="114300" distR="114300" simplePos="0" relativeHeight="251659264" behindDoc="0" locked="0" layoutInCell="1" allowOverlap="0">
            <wp:simplePos x="0" y="0"/>
            <wp:positionH relativeFrom="page">
              <wp:posOffset>5004435</wp:posOffset>
            </wp:positionH>
            <wp:positionV relativeFrom="page">
              <wp:posOffset>466725</wp:posOffset>
            </wp:positionV>
            <wp:extent cx="1447165" cy="733425"/>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447200" cy="733320"/>
                    </a:xfrm>
                    <a:prstGeom prst="rect">
                      <a:avLst/>
                    </a:prstGeom>
                    <a:noFill/>
                    <a:ln>
                      <a:noFill/>
                    </a:ln>
                  </pic:spPr>
                </pic:pic>
              </a:graphicData>
            </a:graphic>
          </wp:anchor>
        </w:drawing>
      </w:r>
    </w:p>
    <w:p w14:paraId="148CFF55">
      <w:pPr>
        <w:pStyle w:val="51"/>
        <w:framePr w:w="9639" w:h="6976" w:hRule="exact" w:hSpace="0" w:vSpace="0" w:wrap="around" w:hAnchor="page" w:y="6408"/>
        <w:jc w:val="center"/>
        <w:rPr>
          <w:rFonts w:hint="eastAsia" w:ascii="黑体" w:hAnsi="黑体" w:eastAsia="黑体"/>
          <w:b w:val="0"/>
          <w:bCs w:val="0"/>
          <w:w w:val="100"/>
        </w:rPr>
      </w:pPr>
    </w:p>
    <w:p w14:paraId="002C1036">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铝合金压铸件能源消耗等级及计算方法</w:t>
      </w:r>
      <w:r>
        <w:fldChar w:fldCharType="end"/>
      </w:r>
      <w:bookmarkEnd w:id="7"/>
    </w:p>
    <w:p w14:paraId="3576A12A">
      <w:pPr>
        <w:framePr w:w="9639" w:h="6974" w:hRule="exact" w:wrap="around" w:vAnchor="page" w:hAnchor="page" w:x="1419" w:y="6408" w:anchorLock="1"/>
        <w:ind w:left="-1418"/>
      </w:pPr>
    </w:p>
    <w:p w14:paraId="23118EEB">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hint="eastAsia" w:eastAsia="黑体"/>
          <w:szCs w:val="28"/>
        </w:rPr>
        <w:t>The grades and calculation methods for energy consumption of aluminum alloy die-castings</w:t>
      </w:r>
      <w:r>
        <w:rPr>
          <w:rFonts w:eastAsia="黑体"/>
          <w:szCs w:val="28"/>
        </w:rPr>
        <w:fldChar w:fldCharType="end"/>
      </w:r>
      <w:bookmarkEnd w:id="8"/>
    </w:p>
    <w:p w14:paraId="73A49A3F">
      <w:pPr>
        <w:framePr w:w="9639" w:h="6974" w:hRule="exact" w:wrap="around" w:vAnchor="page" w:hAnchor="page" w:x="1419" w:y="6408" w:anchorLock="1"/>
        <w:spacing w:line="760" w:lineRule="exact"/>
        <w:ind w:left="-1418"/>
      </w:pPr>
    </w:p>
    <w:p w14:paraId="0CBE4AAA">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szCs w:val="28"/>
        </w:rPr>
        <w:instrText xml:space="preserve"> FORMTEXT </w:instrText>
      </w:r>
      <w:r>
        <w:rPr>
          <w:rFonts w:eastAsia="黑体"/>
          <w:szCs w:val="28"/>
        </w:rPr>
        <w:fldChar w:fldCharType="separate"/>
      </w:r>
      <w:r>
        <w:rPr>
          <w:rFonts w:hint="eastAsia" w:eastAsia="黑体"/>
          <w:szCs w:val="28"/>
        </w:rPr>
        <w:t>(点击此处添加与国际标准一致性程度的标识)</w:t>
      </w:r>
      <w:r>
        <w:rPr>
          <w:rFonts w:eastAsia="黑体"/>
          <w:szCs w:val="28"/>
        </w:rPr>
        <w:fldChar w:fldCharType="end"/>
      </w:r>
      <w:bookmarkEnd w:id="9"/>
    </w:p>
    <w:p w14:paraId="7B432542">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59F95C72">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rFonts w:hint="eastAsia"/>
          <w:sz w:val="21"/>
          <w:szCs w:val="28"/>
        </w:rPr>
        <w:t>2026-</w:t>
      </w:r>
      <w:r>
        <w:rPr>
          <w:rFonts w:hint="eastAsia"/>
          <w:sz w:val="21"/>
          <w:szCs w:val="28"/>
          <w:lang w:val="en-US" w:eastAsia="zh-CN"/>
        </w:rPr>
        <w:t>3</w:t>
      </w:r>
      <w:bookmarkStart w:id="138" w:name="_GoBack"/>
      <w:bookmarkEnd w:id="138"/>
      <w:r>
        <w:rPr>
          <w:sz w:val="21"/>
          <w:szCs w:val="28"/>
        </w:rPr>
        <w:fldChar w:fldCharType="end"/>
      </w:r>
      <w:bookmarkEnd w:id="11"/>
    </w:p>
    <w:p w14:paraId="4E5C6AD6">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4A7B8363">
      <w:pPr>
        <w:pStyle w:val="194"/>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7F6C392A">
      <w:pPr>
        <w:pStyle w:val="195"/>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75D9F60B">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2410" w:right="1134" w:bottom="1134" w:left="1134" w:header="1418" w:footer="1134" w:gutter="284"/>
          <w:cols w:space="425" w:num="1"/>
          <w:titlePg/>
          <w:docGrid w:linePitch="312" w:charSpace="0"/>
        </w:sectPr>
      </w:pPr>
      <w:r>
        <w:rPr>
          <w:rFonts w:hint="eastAsia" w:ascii="宋体" w:hAnsi="宋体"/>
          <w:sz w:val="28"/>
          <w:szCs w:val="28"/>
        </w:rPr>
        <w:drawing>
          <wp:anchor distT="0" distB="0" distL="114300" distR="114300" simplePos="0" relativeHeight="251663360" behindDoc="0" locked="0" layoutInCell="1" allowOverlap="1">
            <wp:simplePos x="0" y="0"/>
            <wp:positionH relativeFrom="column">
              <wp:posOffset>1609725</wp:posOffset>
            </wp:positionH>
            <wp:positionV relativeFrom="paragraph">
              <wp:posOffset>6480810</wp:posOffset>
            </wp:positionV>
            <wp:extent cx="2868295" cy="544830"/>
            <wp:effectExtent l="0" t="0" r="0" b="825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68480" cy="544680"/>
                    </a:xfrm>
                    <a:prstGeom prst="rect">
                      <a:avLst/>
                    </a:prstGeom>
                  </pic:spPr>
                </pic:pic>
              </a:graphicData>
            </a:graphic>
          </wp:anchor>
        </w:drawing>
      </w:r>
      <w:r>
        <w:rPr>
          <w:rFonts w:hint="eastAsia" w:ascii="宋体" w:hAnsi="宋体"/>
          <w:sz w:val="28"/>
          <w:szCs w:val="28"/>
        </w:rPr>
        <w:drawing>
          <wp:anchor distT="0" distB="0" distL="114300" distR="114300" simplePos="0" relativeHeight="251662336" behindDoc="0" locked="0" layoutInCell="1" allowOverlap="1">
            <wp:simplePos x="0" y="0"/>
            <wp:positionH relativeFrom="column">
              <wp:posOffset>1610360</wp:posOffset>
            </wp:positionH>
            <wp:positionV relativeFrom="paragraph">
              <wp:posOffset>8245475</wp:posOffset>
            </wp:positionV>
            <wp:extent cx="2869565" cy="546100"/>
            <wp:effectExtent l="0" t="0" r="0" b="698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69324" cy="545919"/>
                    </a:xfrm>
                    <a:prstGeom prst="rect">
                      <a:avLst/>
                    </a:prstGeom>
                  </pic:spPr>
                </pic:pic>
              </a:graphicData>
            </a:graphic>
          </wp:anchor>
        </w:drawing>
      </w: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r>
        <w:rPr>
          <w:rFonts w:hint="eastAsia" w:ascii="宋体" w:hAnsi="宋体"/>
          <w:sz w:val="28"/>
          <w:szCs w:val="28"/>
        </w:rPr>
        <w:t>`</w:t>
      </w:r>
    </w:p>
    <w:p w14:paraId="45C0F284">
      <w:pPr>
        <w:pStyle w:val="92"/>
        <w:spacing w:after="360"/>
      </w:pPr>
      <w:bookmarkStart w:id="19" w:name="BookMark1"/>
      <w:r>
        <w:rPr>
          <w:rFonts w:hint="eastAsia"/>
          <w:spacing w:val="320"/>
        </w:rPr>
        <w:t>目</w:t>
      </w:r>
      <w:r>
        <w:rPr>
          <w:rFonts w:hint="eastAsia"/>
        </w:rPr>
        <w:t>次</w:t>
      </w:r>
    </w:p>
    <w:p w14:paraId="162488CC">
      <w:pPr>
        <w:pStyle w:val="20"/>
        <w:rPr>
          <w:rStyle w:val="33"/>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"_Toc223181371" </w:instrText>
      </w:r>
      <w:r>
        <w:fldChar w:fldCharType="separate"/>
      </w:r>
      <w:r>
        <w:rPr>
          <w:rStyle w:val="33"/>
          <w:rFonts w:hint="eastAsia"/>
        </w:rPr>
        <w:t>前言</w:t>
      </w:r>
      <w:r>
        <w:rPr>
          <w:rStyle w:val="33"/>
          <w:rFonts w:hint="eastAsia"/>
        </w:rPr>
        <w:tab/>
      </w:r>
      <w:r>
        <w:rPr>
          <w:rStyle w:val="33"/>
          <w:rFonts w:hint="eastAsia"/>
        </w:rPr>
        <w:fldChar w:fldCharType="begin"/>
      </w:r>
      <w:r>
        <w:rPr>
          <w:rStyle w:val="33"/>
          <w:rFonts w:hint="eastAsia"/>
        </w:rPr>
        <w:instrText xml:space="preserve"> </w:instrText>
      </w:r>
      <w:r>
        <w:rPr>
          <w:rStyle w:val="33"/>
        </w:rPr>
        <w:instrText xml:space="preserve">PAGEREF _Toc223181371 \h</w:instrText>
      </w:r>
      <w:r>
        <w:rPr>
          <w:rStyle w:val="33"/>
          <w:rFonts w:hint="eastAsia"/>
        </w:rPr>
        <w:instrText xml:space="preserve"> </w:instrText>
      </w:r>
      <w:r>
        <w:rPr>
          <w:rStyle w:val="33"/>
          <w:rFonts w:hint="eastAsia"/>
        </w:rPr>
        <w:fldChar w:fldCharType="separate"/>
      </w:r>
      <w:r>
        <w:rPr>
          <w:rStyle w:val="33"/>
        </w:rPr>
        <w:t>II</w:t>
      </w:r>
      <w:r>
        <w:rPr>
          <w:rStyle w:val="33"/>
          <w:rFonts w:hint="eastAsia"/>
        </w:rPr>
        <w:fldChar w:fldCharType="end"/>
      </w:r>
      <w:r>
        <w:rPr>
          <w:rStyle w:val="33"/>
          <w:rFonts w:hint="eastAsia"/>
        </w:rPr>
        <w:fldChar w:fldCharType="end"/>
      </w:r>
    </w:p>
    <w:p w14:paraId="12A0C198">
      <w:pPr>
        <w:pStyle w:val="20"/>
        <w:rPr>
          <w:rStyle w:val="33"/>
        </w:rPr>
      </w:pPr>
      <w:r>
        <w:fldChar w:fldCharType="begin"/>
      </w:r>
      <w:r>
        <w:instrText xml:space="preserve"> HYPERLINK \l "_Toc223181372" </w:instrText>
      </w:r>
      <w:r>
        <w:fldChar w:fldCharType="separate"/>
      </w:r>
      <w:r>
        <w:rPr>
          <w:rStyle w:val="33"/>
          <w:rFonts w:hint="eastAsia"/>
        </w:rPr>
        <w:t>引言</w:t>
      </w:r>
      <w:r>
        <w:rPr>
          <w:rStyle w:val="33"/>
          <w:rFonts w:hint="eastAsia"/>
        </w:rPr>
        <w:tab/>
      </w:r>
      <w:r>
        <w:rPr>
          <w:rStyle w:val="33"/>
          <w:rFonts w:hint="eastAsia"/>
        </w:rPr>
        <w:fldChar w:fldCharType="begin"/>
      </w:r>
      <w:r>
        <w:rPr>
          <w:rStyle w:val="33"/>
          <w:rFonts w:hint="eastAsia"/>
        </w:rPr>
        <w:instrText xml:space="preserve"> </w:instrText>
      </w:r>
      <w:r>
        <w:rPr>
          <w:rStyle w:val="33"/>
        </w:rPr>
        <w:instrText xml:space="preserve">PAGEREF _Toc223181372 \h</w:instrText>
      </w:r>
      <w:r>
        <w:rPr>
          <w:rStyle w:val="33"/>
          <w:rFonts w:hint="eastAsia"/>
        </w:rPr>
        <w:instrText xml:space="preserve"> </w:instrText>
      </w:r>
      <w:r>
        <w:rPr>
          <w:rStyle w:val="33"/>
          <w:rFonts w:hint="eastAsia"/>
        </w:rPr>
        <w:fldChar w:fldCharType="separate"/>
      </w:r>
      <w:r>
        <w:rPr>
          <w:rStyle w:val="33"/>
        </w:rPr>
        <w:t>III</w:t>
      </w:r>
      <w:r>
        <w:rPr>
          <w:rStyle w:val="33"/>
          <w:rFonts w:hint="eastAsia"/>
        </w:rPr>
        <w:fldChar w:fldCharType="end"/>
      </w:r>
      <w:r>
        <w:rPr>
          <w:rStyle w:val="33"/>
          <w:rFonts w:hint="eastAsia"/>
        </w:rPr>
        <w:fldChar w:fldCharType="end"/>
      </w:r>
    </w:p>
    <w:p w14:paraId="3C2FA2A2">
      <w:pPr>
        <w:pStyle w:val="20"/>
        <w:rPr>
          <w:rFonts w:hint="eastAsia" w:asciiTheme="minorHAnsi" w:hAnsiTheme="minorHAnsi" w:eastAsiaTheme="minorEastAsia" w:cstheme="minorBidi"/>
          <w:sz w:val="22"/>
          <w:szCs w:val="24"/>
          <w14:ligatures w14:val="standardContextual"/>
        </w:rPr>
      </w:pPr>
      <w:r>
        <w:fldChar w:fldCharType="begin"/>
      </w:r>
      <w:r>
        <w:instrText xml:space="preserve"> HYPERLINK \l "_Toc223181373" </w:instrText>
      </w:r>
      <w:r>
        <w:fldChar w:fldCharType="separate"/>
      </w:r>
      <w:r>
        <w:rPr>
          <w:rStyle w:val="33"/>
          <w:rFonts w:hint="eastAsia"/>
        </w:rPr>
        <w:t>1 范围</w:t>
      </w:r>
      <w:r>
        <w:rPr>
          <w:rFonts w:hint="eastAsia"/>
        </w:rPr>
        <w:tab/>
      </w:r>
      <w:r>
        <w:rPr>
          <w:rFonts w:hint="eastAsia"/>
        </w:rPr>
        <w:fldChar w:fldCharType="begin"/>
      </w:r>
      <w:r>
        <w:rPr>
          <w:rFonts w:hint="eastAsia"/>
        </w:rPr>
        <w:instrText xml:space="preserve"> </w:instrText>
      </w:r>
      <w:r>
        <w:instrText xml:space="preserve">PAGEREF _Toc223181373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A7F0675">
      <w:pPr>
        <w:pStyle w:val="20"/>
        <w:rPr>
          <w:rFonts w:hint="eastAsia" w:asciiTheme="minorHAnsi" w:hAnsiTheme="minorHAnsi" w:eastAsiaTheme="minorEastAsia" w:cstheme="minorBidi"/>
          <w:sz w:val="22"/>
          <w:szCs w:val="24"/>
          <w14:ligatures w14:val="standardContextual"/>
        </w:rPr>
      </w:pPr>
      <w:r>
        <w:fldChar w:fldCharType="begin"/>
      </w:r>
      <w:r>
        <w:instrText xml:space="preserve"> HYPERLINK \l "_Toc223181374" </w:instrText>
      </w:r>
      <w:r>
        <w:fldChar w:fldCharType="separate"/>
      </w:r>
      <w:r>
        <w:rPr>
          <w:rStyle w:val="33"/>
          <w:rFonts w:hint="eastAsia"/>
        </w:rPr>
        <w:t>2 规范性引用文件</w:t>
      </w:r>
      <w:r>
        <w:rPr>
          <w:rFonts w:hint="eastAsia"/>
        </w:rPr>
        <w:tab/>
      </w:r>
      <w:r>
        <w:rPr>
          <w:rFonts w:hint="eastAsia"/>
        </w:rPr>
        <w:fldChar w:fldCharType="begin"/>
      </w:r>
      <w:r>
        <w:rPr>
          <w:rFonts w:hint="eastAsia"/>
        </w:rPr>
        <w:instrText xml:space="preserve"> </w:instrText>
      </w:r>
      <w:r>
        <w:instrText xml:space="preserve">PAGEREF _Toc223181374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62775AB">
      <w:pPr>
        <w:pStyle w:val="20"/>
        <w:rPr>
          <w:rFonts w:hint="eastAsia" w:asciiTheme="minorHAnsi" w:hAnsiTheme="minorHAnsi" w:eastAsiaTheme="minorEastAsia" w:cstheme="minorBidi"/>
          <w:sz w:val="22"/>
          <w:szCs w:val="24"/>
          <w14:ligatures w14:val="standardContextual"/>
        </w:rPr>
      </w:pPr>
      <w:r>
        <w:fldChar w:fldCharType="begin"/>
      </w:r>
      <w:r>
        <w:instrText xml:space="preserve"> HYPERLINK \l "_Toc223181375" </w:instrText>
      </w:r>
      <w:r>
        <w:fldChar w:fldCharType="separate"/>
      </w:r>
      <w:r>
        <w:rPr>
          <w:rStyle w:val="33"/>
          <w:rFonts w:hint="eastAsia"/>
        </w:rPr>
        <w:t>3 术语和定义</w:t>
      </w:r>
      <w:r>
        <w:rPr>
          <w:rFonts w:hint="eastAsia"/>
        </w:rPr>
        <w:tab/>
      </w:r>
      <w:r>
        <w:rPr>
          <w:rFonts w:hint="eastAsia"/>
        </w:rPr>
        <w:fldChar w:fldCharType="begin"/>
      </w:r>
      <w:r>
        <w:rPr>
          <w:rFonts w:hint="eastAsia"/>
        </w:rPr>
        <w:instrText xml:space="preserve"> </w:instrText>
      </w:r>
      <w:r>
        <w:instrText xml:space="preserve">PAGEREF _Toc223181375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2D9FFAE">
      <w:pPr>
        <w:pStyle w:val="20"/>
        <w:rPr>
          <w:rFonts w:hint="eastAsia" w:asciiTheme="minorHAnsi" w:hAnsiTheme="minorHAnsi" w:eastAsiaTheme="minorEastAsia" w:cstheme="minorBidi"/>
          <w:sz w:val="22"/>
          <w:szCs w:val="24"/>
          <w14:ligatures w14:val="standardContextual"/>
        </w:rPr>
      </w:pPr>
      <w:r>
        <w:fldChar w:fldCharType="begin"/>
      </w:r>
      <w:r>
        <w:instrText xml:space="preserve"> HYPERLINK \l "_Toc223181376" </w:instrText>
      </w:r>
      <w:r>
        <w:fldChar w:fldCharType="separate"/>
      </w:r>
      <w:r>
        <w:rPr>
          <w:rStyle w:val="33"/>
          <w:rFonts w:hint="eastAsia"/>
        </w:rPr>
        <w:t>4 统计范围</w:t>
      </w:r>
      <w:r>
        <w:rPr>
          <w:rFonts w:hint="eastAsia"/>
        </w:rPr>
        <w:tab/>
      </w:r>
      <w:r>
        <w:rPr>
          <w:rFonts w:hint="eastAsia"/>
        </w:rPr>
        <w:fldChar w:fldCharType="begin"/>
      </w:r>
      <w:r>
        <w:rPr>
          <w:rFonts w:hint="eastAsia"/>
        </w:rPr>
        <w:instrText xml:space="preserve"> </w:instrText>
      </w:r>
      <w:r>
        <w:instrText xml:space="preserve">PAGEREF _Toc223181376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03298E5">
      <w:pPr>
        <w:pStyle w:val="20"/>
        <w:rPr>
          <w:rFonts w:hint="eastAsia" w:asciiTheme="minorHAnsi" w:hAnsiTheme="minorHAnsi" w:eastAsiaTheme="minorEastAsia" w:cstheme="minorBidi"/>
          <w:sz w:val="22"/>
          <w:szCs w:val="24"/>
          <w14:ligatures w14:val="standardContextual"/>
        </w:rPr>
      </w:pPr>
      <w:r>
        <w:fldChar w:fldCharType="begin"/>
      </w:r>
      <w:r>
        <w:instrText xml:space="preserve"> HYPERLINK \l "_Toc223181380" </w:instrText>
      </w:r>
      <w:r>
        <w:fldChar w:fldCharType="separate"/>
      </w:r>
      <w:r>
        <w:rPr>
          <w:rStyle w:val="33"/>
          <w:rFonts w:hint="eastAsia"/>
        </w:rPr>
        <w:t>5 能耗等级</w:t>
      </w:r>
      <w:r>
        <w:rPr>
          <w:rFonts w:hint="eastAsia"/>
        </w:rPr>
        <w:tab/>
      </w:r>
      <w:r>
        <w:rPr>
          <w:rFonts w:hint="eastAsia"/>
        </w:rPr>
        <w:fldChar w:fldCharType="begin"/>
      </w:r>
      <w:r>
        <w:rPr>
          <w:rFonts w:hint="eastAsia"/>
        </w:rPr>
        <w:instrText xml:space="preserve"> </w:instrText>
      </w:r>
      <w:r>
        <w:instrText xml:space="preserve">PAGEREF _Toc223181380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0204536">
      <w:pPr>
        <w:pStyle w:val="20"/>
        <w:rPr>
          <w:rFonts w:hint="eastAsia" w:asciiTheme="minorHAnsi" w:hAnsiTheme="minorHAnsi" w:eastAsiaTheme="minorEastAsia" w:cstheme="minorBidi"/>
          <w:sz w:val="22"/>
          <w:szCs w:val="24"/>
          <w14:ligatures w14:val="standardContextual"/>
        </w:rPr>
      </w:pPr>
      <w:r>
        <w:fldChar w:fldCharType="begin"/>
      </w:r>
      <w:r>
        <w:instrText xml:space="preserve"> HYPERLINK \l "_Toc223181384" </w:instrText>
      </w:r>
      <w:r>
        <w:fldChar w:fldCharType="separate"/>
      </w:r>
      <w:r>
        <w:rPr>
          <w:rStyle w:val="33"/>
          <w:rFonts w:hint="eastAsia"/>
        </w:rPr>
        <w:t>6 计量及标准煤折算要求</w:t>
      </w:r>
      <w:r>
        <w:rPr>
          <w:rFonts w:hint="eastAsia"/>
        </w:rPr>
        <w:tab/>
      </w:r>
      <w:r>
        <w:rPr>
          <w:rFonts w:hint="eastAsia"/>
        </w:rPr>
        <w:fldChar w:fldCharType="begin"/>
      </w:r>
      <w:r>
        <w:rPr>
          <w:rFonts w:hint="eastAsia"/>
        </w:rPr>
        <w:instrText xml:space="preserve"> </w:instrText>
      </w:r>
      <w:r>
        <w:instrText xml:space="preserve">PAGEREF _Toc223181384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10BEF0E">
      <w:pPr>
        <w:pStyle w:val="20"/>
        <w:rPr>
          <w:rFonts w:hint="eastAsia" w:asciiTheme="minorHAnsi" w:hAnsiTheme="minorHAnsi" w:eastAsiaTheme="minorEastAsia" w:cstheme="minorBidi"/>
          <w:sz w:val="22"/>
          <w:szCs w:val="24"/>
          <w14:ligatures w14:val="standardContextual"/>
        </w:rPr>
      </w:pPr>
      <w:r>
        <w:fldChar w:fldCharType="begin"/>
      </w:r>
      <w:r>
        <w:instrText xml:space="preserve"> HYPERLINK \l "_Toc223181388" </w:instrText>
      </w:r>
      <w:r>
        <w:fldChar w:fldCharType="separate"/>
      </w:r>
      <w:r>
        <w:rPr>
          <w:rStyle w:val="33"/>
          <w:rFonts w:hint="eastAsia"/>
        </w:rPr>
        <w:t>7 计算方法</w:t>
      </w:r>
      <w:r>
        <w:rPr>
          <w:rFonts w:hint="eastAsia"/>
        </w:rPr>
        <w:tab/>
      </w:r>
      <w:r>
        <w:rPr>
          <w:rFonts w:hint="eastAsia"/>
        </w:rPr>
        <w:fldChar w:fldCharType="begin"/>
      </w:r>
      <w:r>
        <w:rPr>
          <w:rFonts w:hint="eastAsia"/>
        </w:rPr>
        <w:instrText xml:space="preserve"> </w:instrText>
      </w:r>
      <w:r>
        <w:instrText xml:space="preserve">PAGEREF _Toc223181388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1DE95AD">
      <w:pPr>
        <w:pStyle w:val="20"/>
        <w:rPr>
          <w:rFonts w:hint="eastAsia" w:asciiTheme="minorHAnsi" w:hAnsiTheme="minorHAnsi" w:eastAsiaTheme="minorEastAsia" w:cstheme="minorBidi"/>
          <w:sz w:val="22"/>
          <w:szCs w:val="24"/>
          <w14:ligatures w14:val="standardContextual"/>
        </w:rPr>
      </w:pPr>
      <w:r>
        <w:fldChar w:fldCharType="begin"/>
      </w:r>
      <w:r>
        <w:instrText xml:space="preserve"> HYPERLINK \l "_Toc223181390" </w:instrText>
      </w:r>
      <w:r>
        <w:fldChar w:fldCharType="separate"/>
      </w:r>
      <w:r>
        <w:rPr>
          <w:rStyle w:val="33"/>
          <w:rFonts w:hint="eastAsia"/>
        </w:rPr>
        <w:t>8 达标判定</w:t>
      </w:r>
      <w:r>
        <w:rPr>
          <w:rFonts w:hint="eastAsia"/>
        </w:rPr>
        <w:tab/>
      </w:r>
      <w:r>
        <w:rPr>
          <w:rFonts w:hint="eastAsia"/>
        </w:rPr>
        <w:fldChar w:fldCharType="begin"/>
      </w:r>
      <w:r>
        <w:rPr>
          <w:rFonts w:hint="eastAsia"/>
        </w:rPr>
        <w:instrText xml:space="preserve"> </w:instrText>
      </w:r>
      <w:r>
        <w:instrText xml:space="preserve">PAGEREF _Toc223181390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320BA0F">
      <w:pPr>
        <w:pStyle w:val="20"/>
        <w:rPr>
          <w:rStyle w:val="33"/>
        </w:rPr>
      </w:pPr>
      <w:r>
        <w:fldChar w:fldCharType="begin"/>
      </w:r>
      <w:r>
        <w:instrText xml:space="preserve"> HYPERLINK \l "_Toc223181391" </w:instrText>
      </w:r>
      <w:r>
        <w:fldChar w:fldCharType="separate"/>
      </w:r>
      <w:r>
        <w:rPr>
          <w:rStyle w:val="33"/>
          <w:rFonts w:hint="eastAsia"/>
        </w:rPr>
        <w:t>附录A （资料性） 各种能源折算标准煤的参考系数</w:t>
      </w:r>
      <w:r>
        <w:rPr>
          <w:rStyle w:val="33"/>
          <w:rFonts w:hint="eastAsia"/>
        </w:rPr>
        <w:tab/>
      </w:r>
      <w:r>
        <w:rPr>
          <w:rStyle w:val="33"/>
          <w:rFonts w:hint="eastAsia"/>
        </w:rPr>
        <w:fldChar w:fldCharType="begin"/>
      </w:r>
      <w:r>
        <w:rPr>
          <w:rStyle w:val="33"/>
          <w:rFonts w:hint="eastAsia"/>
        </w:rPr>
        <w:instrText xml:space="preserve"> </w:instrText>
      </w:r>
      <w:r>
        <w:rPr>
          <w:rStyle w:val="33"/>
        </w:rPr>
        <w:instrText xml:space="preserve">PAGEREF _Toc223181391 \h</w:instrText>
      </w:r>
      <w:r>
        <w:rPr>
          <w:rStyle w:val="33"/>
          <w:rFonts w:hint="eastAsia"/>
        </w:rPr>
        <w:instrText xml:space="preserve"> </w:instrText>
      </w:r>
      <w:r>
        <w:rPr>
          <w:rStyle w:val="33"/>
          <w:rFonts w:hint="eastAsia"/>
        </w:rPr>
        <w:fldChar w:fldCharType="separate"/>
      </w:r>
      <w:r>
        <w:rPr>
          <w:rStyle w:val="33"/>
        </w:rPr>
        <w:t>5</w:t>
      </w:r>
      <w:r>
        <w:rPr>
          <w:rStyle w:val="33"/>
          <w:rFonts w:hint="eastAsia"/>
        </w:rPr>
        <w:fldChar w:fldCharType="end"/>
      </w:r>
      <w:r>
        <w:rPr>
          <w:rStyle w:val="33"/>
          <w:rFonts w:hint="eastAsia"/>
        </w:rPr>
        <w:fldChar w:fldCharType="end"/>
      </w:r>
    </w:p>
    <w:p w14:paraId="398E8B5F">
      <w:pPr>
        <w:pStyle w:val="20"/>
        <w:rPr>
          <w:rStyle w:val="33"/>
        </w:rPr>
      </w:pPr>
      <w:r>
        <w:fldChar w:fldCharType="begin"/>
      </w:r>
      <w:r>
        <w:instrText xml:space="preserve"> HYPERLINK \l "_Toc223181393" </w:instrText>
      </w:r>
      <w:r>
        <w:fldChar w:fldCharType="separate"/>
      </w:r>
      <w:r>
        <w:rPr>
          <w:rStyle w:val="33"/>
          <w:rFonts w:hint="eastAsia"/>
        </w:rPr>
        <w:t>附录B （资料性） 耗能工质能源等价值</w:t>
      </w:r>
      <w:r>
        <w:rPr>
          <w:rStyle w:val="33"/>
          <w:rFonts w:hint="eastAsia"/>
        </w:rPr>
        <w:tab/>
      </w:r>
      <w:r>
        <w:rPr>
          <w:rStyle w:val="33"/>
          <w:rFonts w:hint="eastAsia"/>
        </w:rPr>
        <w:fldChar w:fldCharType="begin"/>
      </w:r>
      <w:r>
        <w:rPr>
          <w:rStyle w:val="33"/>
          <w:rFonts w:hint="eastAsia"/>
        </w:rPr>
        <w:instrText xml:space="preserve"> </w:instrText>
      </w:r>
      <w:r>
        <w:rPr>
          <w:rStyle w:val="33"/>
        </w:rPr>
        <w:instrText xml:space="preserve">PAGEREF _Toc223181393 \h</w:instrText>
      </w:r>
      <w:r>
        <w:rPr>
          <w:rStyle w:val="33"/>
          <w:rFonts w:hint="eastAsia"/>
        </w:rPr>
        <w:instrText xml:space="preserve"> </w:instrText>
      </w:r>
      <w:r>
        <w:rPr>
          <w:rStyle w:val="33"/>
          <w:rFonts w:hint="eastAsia"/>
        </w:rPr>
        <w:fldChar w:fldCharType="separate"/>
      </w:r>
      <w:r>
        <w:rPr>
          <w:rStyle w:val="33"/>
        </w:rPr>
        <w:t>6</w:t>
      </w:r>
      <w:r>
        <w:rPr>
          <w:rStyle w:val="33"/>
          <w:rFonts w:hint="eastAsia"/>
        </w:rPr>
        <w:fldChar w:fldCharType="end"/>
      </w:r>
      <w:r>
        <w:rPr>
          <w:rStyle w:val="33"/>
          <w:rFonts w:hint="eastAsia"/>
        </w:rPr>
        <w:fldChar w:fldCharType="end"/>
      </w:r>
    </w:p>
    <w:p w14:paraId="2C857EA6">
      <w:pPr>
        <w:pStyle w:val="20"/>
        <w:rPr>
          <w:rStyle w:val="33"/>
        </w:rPr>
      </w:pPr>
      <w:r>
        <w:fldChar w:fldCharType="begin"/>
      </w:r>
      <w:r>
        <w:instrText xml:space="preserve"> HYPERLINK \l "_Toc223181395" </w:instrText>
      </w:r>
      <w:r>
        <w:fldChar w:fldCharType="separate"/>
      </w:r>
      <w:r>
        <w:rPr>
          <w:rStyle w:val="33"/>
          <w:rFonts w:hint="eastAsia"/>
        </w:rPr>
        <w:t>参考文献</w:t>
      </w:r>
      <w:r>
        <w:rPr>
          <w:rStyle w:val="33"/>
          <w:rFonts w:hint="eastAsia"/>
        </w:rPr>
        <w:tab/>
      </w:r>
      <w:r>
        <w:rPr>
          <w:rStyle w:val="33"/>
          <w:rFonts w:hint="eastAsia"/>
        </w:rPr>
        <w:fldChar w:fldCharType="begin"/>
      </w:r>
      <w:r>
        <w:rPr>
          <w:rStyle w:val="33"/>
          <w:rFonts w:hint="eastAsia"/>
        </w:rPr>
        <w:instrText xml:space="preserve"> </w:instrText>
      </w:r>
      <w:r>
        <w:rPr>
          <w:rStyle w:val="33"/>
        </w:rPr>
        <w:instrText xml:space="preserve">PAGEREF _Toc223181395 \h</w:instrText>
      </w:r>
      <w:r>
        <w:rPr>
          <w:rStyle w:val="33"/>
          <w:rFonts w:hint="eastAsia"/>
        </w:rPr>
        <w:instrText xml:space="preserve"> </w:instrText>
      </w:r>
      <w:r>
        <w:rPr>
          <w:rStyle w:val="33"/>
          <w:rFonts w:hint="eastAsia"/>
        </w:rPr>
        <w:fldChar w:fldCharType="separate"/>
      </w:r>
      <w:r>
        <w:rPr>
          <w:rStyle w:val="33"/>
        </w:rPr>
        <w:t>7</w:t>
      </w:r>
      <w:r>
        <w:rPr>
          <w:rStyle w:val="33"/>
          <w:rFonts w:hint="eastAsia"/>
        </w:rPr>
        <w:fldChar w:fldCharType="end"/>
      </w:r>
      <w:r>
        <w:rPr>
          <w:rStyle w:val="33"/>
          <w:rFonts w:hint="eastAsia"/>
        </w:rPr>
        <w:fldChar w:fldCharType="end"/>
      </w:r>
    </w:p>
    <w:p w14:paraId="1858768E">
      <w:pPr>
        <w:pStyle w:val="92"/>
        <w:spacing w:after="36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19"/>
    <w:p w14:paraId="14C8EDAB">
      <w:pPr>
        <w:pStyle w:val="90"/>
        <w:spacing w:before="900" w:after="360"/>
      </w:pPr>
      <w:bookmarkStart w:id="20" w:name="_Toc223181371"/>
      <w:bookmarkStart w:id="21" w:name="BookMark2"/>
      <w:r>
        <w:rPr>
          <w:rFonts w:hint="eastAsia"/>
          <w:spacing w:val="320"/>
        </w:rPr>
        <w:t>前</w:t>
      </w:r>
      <w:r>
        <w:rPr>
          <w:rFonts w:hint="eastAsia"/>
        </w:rPr>
        <w:t>言</w:t>
      </w:r>
      <w:bookmarkEnd w:id="20"/>
    </w:p>
    <w:p w14:paraId="7B5288EB">
      <w:pPr>
        <w:pStyle w:val="57"/>
        <w:ind w:firstLine="420"/>
      </w:pPr>
      <w:r>
        <w:rPr>
          <w:rFonts w:hint="eastAsia"/>
        </w:rPr>
        <w:t>本文件为规范类指导性技术文件。</w:t>
      </w:r>
    </w:p>
    <w:p w14:paraId="285B8A5F">
      <w:pPr>
        <w:pStyle w:val="57"/>
        <w:ind w:firstLine="420"/>
      </w:pPr>
      <w:r>
        <w:rPr>
          <w:rFonts w:hint="eastAsia"/>
        </w:rPr>
        <w:t>本文件按照</w:t>
      </w:r>
      <w:r>
        <w:rPr>
          <w:rFonts w:ascii="Times New Roman"/>
        </w:rPr>
        <w:t>GB/T 1.1—2020《标准</w:t>
      </w:r>
      <w:r>
        <w:rPr>
          <w:rFonts w:hint="eastAsia"/>
        </w:rPr>
        <w:t>化工作导则  第1部分：标准化文件的结构和起草规则》的规定起草。</w:t>
      </w:r>
    </w:p>
    <w:p w14:paraId="5AD820AC">
      <w:pPr>
        <w:pStyle w:val="57"/>
        <w:ind w:firstLine="420"/>
        <w:rPr>
          <w:rFonts w:ascii="Times New Roman"/>
        </w:rPr>
      </w:pPr>
      <w:r>
        <w:rPr>
          <w:rFonts w:hint="eastAsia"/>
        </w:rPr>
        <w:t>本文件由全国绿色制造技术标准化技术委员</w:t>
      </w:r>
      <w:r>
        <w:rPr>
          <w:rFonts w:ascii="Times New Roman"/>
        </w:rPr>
        <w:t>会（TC337）提出。</w:t>
      </w:r>
    </w:p>
    <w:p w14:paraId="306A4F3C">
      <w:pPr>
        <w:pStyle w:val="57"/>
        <w:ind w:firstLine="420"/>
        <w:rPr>
          <w:rFonts w:ascii="Times New Roman"/>
        </w:rPr>
      </w:pPr>
      <w:r>
        <w:rPr>
          <w:rFonts w:ascii="Times New Roman"/>
        </w:rPr>
        <w:t>本文件由全国绿色制造技术标准化技术委员会（TC337）和全国铸造标准化技术委员会（TC54）联合归口。</w:t>
      </w:r>
    </w:p>
    <w:p w14:paraId="796E8816">
      <w:pPr>
        <w:pStyle w:val="57"/>
        <w:ind w:firstLine="420"/>
      </w:pPr>
      <w:r>
        <w:rPr>
          <w:rFonts w:hint="eastAsia"/>
        </w:rPr>
        <w:t>本文件起草单位：</w:t>
      </w:r>
      <w:bookmarkStart w:id="22" w:name="OLE_LINK1"/>
      <w:r>
        <w:rPr>
          <w:rFonts w:hint="eastAsia"/>
        </w:rPr>
        <w:t>广东鸿图科技股份有限公司、珠海市润星泰电器有限公司、常州市蓝托金属制品有限公司、重庆顺多利机车有限责任公司、宁波勋辉科技股份有限公司、湖州安达汽车配件股份有限公司、中机研标准技术研究院（北京）有限公司、南通高新工业炉有限公司、凯盛精密科技（广州）有限公司、东莞星河精密技术股份有限公司、艾斯迪（天津）汽车零部件有限公司、中国机械总院集团沈阳铸造研究所有限公司、宁波斯贝科技股份有限公司、宁波嘉日汽车零部件有限公司、诺玛科（重庆）汽车零部件有限公司、惠州市华阳精机有限公司、生态环境部南京环境科学研究所、上海嘉朗实业南通智能科技有限公司、东莞市伟峰新材料科技有限公司、南阳天翼金属制品有限公司、青岛海正轻合金有限公司、广东金铭工业铝材有限公司、中国铸造协会</w:t>
      </w:r>
      <w:bookmarkEnd w:id="22"/>
      <w:r>
        <w:rPr>
          <w:rFonts w:hint="eastAsia"/>
        </w:rPr>
        <w:t>。</w:t>
      </w:r>
    </w:p>
    <w:p w14:paraId="2067A549">
      <w:pPr>
        <w:pStyle w:val="57"/>
        <w:ind w:firstLine="420"/>
      </w:pPr>
      <w:r>
        <w:rPr>
          <w:rFonts w:hint="eastAsia"/>
        </w:rPr>
        <w:t>本文件起草人：廖仲杰、张莹、张慧鹏、杨帆、孙婷婷、陆如辉、卢文涛、崔一发、高凯、唐征平、王丹丹、吴映雪、黄亚伟、王凤、李海漪、朱家辉、张波杰、李光浩、田湘平、黎伟华、李健强、董洁、袁寓、林韵、王继成、张东进、吴仁贵、赵刚、赵亮、薛实成、陆陈斌、范卫忠、刘迎、李盾、周伟、任洁、王晓鍇、李化中、叶文辉、乔世杰、王连杰。</w:t>
      </w:r>
    </w:p>
    <w:p w14:paraId="433CAD92">
      <w:pPr>
        <w:pStyle w:val="57"/>
        <w:ind w:firstLine="420"/>
      </w:pPr>
    </w:p>
    <w:p w14:paraId="09DBA1E5">
      <w:pPr>
        <w:pStyle w:val="57"/>
        <w:ind w:firstLine="420"/>
        <w:sectPr>
          <w:pgSz w:w="11906" w:h="16838"/>
          <w:pgMar w:top="1928" w:right="1134" w:bottom="1134" w:left="1134" w:header="1418" w:footer="1134" w:gutter="284"/>
          <w:pgNumType w:fmt="upperRoman"/>
          <w:cols w:space="425" w:num="1"/>
          <w:formProt w:val="0"/>
          <w:docGrid w:linePitch="312" w:charSpace="0"/>
        </w:sectPr>
      </w:pPr>
    </w:p>
    <w:p w14:paraId="49DE783A">
      <w:pPr>
        <w:pStyle w:val="90"/>
        <w:spacing w:before="900" w:after="360"/>
        <w:ind w:left="0" w:firstLine="0"/>
        <w:rPr>
          <w:spacing w:val="320"/>
        </w:rPr>
      </w:pPr>
      <w:bookmarkStart w:id="23" w:name="_Toc223181372"/>
      <w:r>
        <w:rPr>
          <w:rFonts w:hint="eastAsia"/>
          <w:spacing w:val="320"/>
        </w:rPr>
        <w:t>引</w:t>
      </w:r>
      <w:r>
        <w:rPr>
          <w:rFonts w:hint="eastAsia"/>
        </w:rPr>
        <w:t>言</w:t>
      </w:r>
      <w:bookmarkEnd w:id="23"/>
    </w:p>
    <w:p w14:paraId="76B71F16">
      <w:pPr>
        <w:pStyle w:val="166"/>
        <w:numPr>
          <w:ilvl w:val="3"/>
          <w:numId w:val="0"/>
        </w:numPr>
      </w:pPr>
    </w:p>
    <w:p w14:paraId="6A307CE9">
      <w:pPr>
        <w:pStyle w:val="57"/>
        <w:ind w:firstLine="420"/>
      </w:pPr>
      <w:r>
        <w:rPr>
          <w:rFonts w:hint="eastAsia"/>
        </w:rPr>
        <w:t>压铸行业为基础工业提供零部件，涵盖范围较广，如行走机械、航空航天、通信电子、民用五金、医疗、玩具、通用机械等，各行业对配套的压铸零部件质量要求差异较大。不同行业对铸件的重量、结构复杂度和质量等有着各自特定的需求，即使材料相同，但因各行业应用标准不统一，压铸过程的能耗水平也呈现高度不确定性，因此迫切需要制定标准，统一计算方法。</w:t>
      </w:r>
    </w:p>
    <w:p w14:paraId="6134E277">
      <w:pPr>
        <w:pStyle w:val="57"/>
        <w:ind w:firstLine="420"/>
      </w:pPr>
      <w:r>
        <w:rPr>
          <w:rFonts w:hint="eastAsia"/>
        </w:rPr>
        <w:t>本文件通过统计铝合金熔化和压铸两个能耗大且普遍存在的工序的耗能情况，形成3级能耗指标数据结构，建议现有企业能耗达到3级指标，新建及改扩建企业达到2级指标</w:t>
      </w:r>
      <w:r>
        <w:rPr>
          <w:rFonts w:hint="eastAsia"/>
          <w:color w:val="EE0000"/>
        </w:rPr>
        <w:t>，</w:t>
      </w:r>
      <w:r>
        <w:rPr>
          <w:rFonts w:hint="eastAsia"/>
        </w:rPr>
        <w:t>行业龙头及绿色工厂企业建议达到1级指标。</w:t>
      </w:r>
    </w:p>
    <w:p w14:paraId="44E0D7AE">
      <w:pPr>
        <w:pStyle w:val="166"/>
        <w:numPr>
          <w:ilvl w:val="3"/>
          <w:numId w:val="0"/>
        </w:numPr>
        <w:ind w:firstLine="420" w:firstLineChars="200"/>
      </w:pPr>
      <w:r>
        <w:rPr>
          <w:rFonts w:hint="eastAsia"/>
        </w:rPr>
        <w:t>通过制定本文件，确立铝合金压铸件能耗等级，形成统一的能耗计算方法，对促进行业节能降碳技术进步和能效水平提升，支撑国家节能降碳、调整和优化产业、产品结构、化解过剩产能等政策措施，有着积极作用。</w:t>
      </w:r>
    </w:p>
    <w:p w14:paraId="00BF0FFF">
      <w:pPr>
        <w:pStyle w:val="166"/>
        <w:numPr>
          <w:ilvl w:val="3"/>
          <w:numId w:val="0"/>
        </w:numPr>
      </w:pPr>
    </w:p>
    <w:p w14:paraId="3CD55EB0">
      <w:pPr>
        <w:pStyle w:val="57"/>
        <w:ind w:firstLine="420"/>
      </w:pPr>
    </w:p>
    <w:p w14:paraId="609E507E">
      <w:pPr>
        <w:pStyle w:val="57"/>
        <w:ind w:firstLine="420"/>
        <w:sectPr>
          <w:pgSz w:w="11906" w:h="16838"/>
          <w:pgMar w:top="1928" w:right="1134" w:bottom="1134" w:left="1134" w:header="1418" w:footer="1134" w:gutter="284"/>
          <w:pgNumType w:fmt="upperRoman"/>
          <w:cols w:space="425" w:num="1"/>
          <w:formProt w:val="0"/>
          <w:docGrid w:linePitch="312" w:charSpace="0"/>
        </w:sectPr>
      </w:pPr>
    </w:p>
    <w:bookmarkEnd w:id="21"/>
    <w:p w14:paraId="3482CCD0">
      <w:pPr>
        <w:spacing w:line="20" w:lineRule="exact"/>
        <w:jc w:val="center"/>
        <w:rPr>
          <w:rFonts w:hint="eastAsia" w:ascii="黑体" w:hAnsi="黑体" w:eastAsia="黑体"/>
          <w:sz w:val="32"/>
          <w:szCs w:val="32"/>
        </w:rPr>
      </w:pPr>
      <w:bookmarkStart w:id="24" w:name="BookMark4"/>
    </w:p>
    <w:p w14:paraId="18F815A4">
      <w:pPr>
        <w:spacing w:line="20" w:lineRule="exact"/>
        <w:jc w:val="center"/>
        <w:rPr>
          <w:rFonts w:hint="eastAsia" w:ascii="黑体" w:hAnsi="黑体" w:eastAsia="黑体"/>
          <w:sz w:val="32"/>
          <w:szCs w:val="32"/>
        </w:rPr>
      </w:pPr>
    </w:p>
    <w:sdt>
      <w:sdtPr>
        <w:tag w:val="NEW_STAND_NAME"/>
        <w:id w:val="595910757"/>
        <w:lock w:val="sdtLocked"/>
        <w:placeholder>
          <w:docPart w:val="EE82585A891149ECBD6DFEB0DAB3EE93"/>
        </w:placeholder>
      </w:sdtPr>
      <w:sdtContent>
        <w:p w14:paraId="0062F266">
          <w:pPr>
            <w:pStyle w:val="178"/>
            <w:spacing w:before="2" w:beforeLines="1" w:after="528" w:afterLines="220"/>
            <w:rPr>
              <w:rFonts w:hint="eastAsia"/>
            </w:rPr>
          </w:pPr>
          <w:bookmarkStart w:id="25" w:name="NEW_STAND_NAME"/>
          <w:r>
            <w:rPr>
              <w:rFonts w:hint="eastAsia"/>
            </w:rPr>
            <w:t>铝合金压铸件能源消耗等级及计算方法</w:t>
          </w:r>
        </w:p>
      </w:sdtContent>
    </w:sdt>
    <w:bookmarkEnd w:id="25"/>
    <w:p w14:paraId="6EF9E0E9">
      <w:pPr>
        <w:pStyle w:val="105"/>
        <w:spacing w:before="240" w:after="240"/>
      </w:pPr>
      <w:bookmarkStart w:id="26" w:name="_Toc26718930"/>
      <w:bookmarkStart w:id="27" w:name="_Toc97196425"/>
      <w:bookmarkStart w:id="28" w:name="_Toc223181373"/>
      <w:bookmarkStart w:id="29" w:name="_Toc26986530"/>
      <w:bookmarkStart w:id="30" w:name="_Toc24884211"/>
      <w:bookmarkStart w:id="31" w:name="_Toc17233333"/>
      <w:bookmarkStart w:id="32" w:name="_Toc97209182"/>
      <w:bookmarkStart w:id="33" w:name="_Toc17233325"/>
      <w:bookmarkStart w:id="34" w:name="_Toc24884218"/>
      <w:bookmarkStart w:id="35" w:name="_Toc26648465"/>
      <w:bookmarkStart w:id="36" w:name="_Toc26986771"/>
      <w:r>
        <w:rPr>
          <w:rFonts w:hint="eastAsia"/>
        </w:rPr>
        <w:t>范围</w:t>
      </w:r>
      <w:bookmarkEnd w:id="26"/>
      <w:bookmarkEnd w:id="27"/>
      <w:bookmarkEnd w:id="28"/>
      <w:bookmarkEnd w:id="29"/>
      <w:bookmarkEnd w:id="30"/>
      <w:bookmarkEnd w:id="31"/>
      <w:bookmarkEnd w:id="32"/>
      <w:bookmarkEnd w:id="33"/>
      <w:bookmarkEnd w:id="34"/>
      <w:bookmarkEnd w:id="35"/>
      <w:bookmarkEnd w:id="36"/>
    </w:p>
    <w:p w14:paraId="03362AC8">
      <w:pPr>
        <w:pStyle w:val="57"/>
        <w:ind w:firstLine="420"/>
      </w:pPr>
      <w:bookmarkStart w:id="37" w:name="_Toc17233326"/>
      <w:bookmarkStart w:id="38" w:name="_Toc17233334"/>
      <w:bookmarkStart w:id="39" w:name="_Toc26648466"/>
      <w:bookmarkStart w:id="40" w:name="_Toc24884212"/>
      <w:bookmarkStart w:id="41" w:name="_Toc24884219"/>
      <w:r>
        <w:rPr>
          <w:rFonts w:hint="eastAsia"/>
        </w:rPr>
        <w:t>本文件规定了铝合金压铸件能源消耗等级及计算方法的统计范围、能耗等级、计量及标准煤折算要求、计算方法、达标判定的要求。</w:t>
      </w:r>
    </w:p>
    <w:p w14:paraId="5013FE51">
      <w:pPr>
        <w:pStyle w:val="57"/>
        <w:ind w:firstLine="420"/>
      </w:pPr>
      <w:r>
        <w:rPr>
          <w:rFonts w:hint="eastAsia"/>
        </w:rPr>
        <w:t>本文件适用于铝合金压铸企业对铝合金压铸件单位能耗的计算、考核以及对新建项目的能耗管理。</w:t>
      </w:r>
    </w:p>
    <w:p w14:paraId="2A104418">
      <w:pPr>
        <w:pStyle w:val="105"/>
        <w:spacing w:before="240" w:after="240"/>
      </w:pPr>
      <w:bookmarkStart w:id="42" w:name="_Toc26986531"/>
      <w:bookmarkStart w:id="43" w:name="_Toc97209183"/>
      <w:bookmarkStart w:id="44" w:name="_Toc26986772"/>
      <w:bookmarkStart w:id="45" w:name="_Toc97196426"/>
      <w:bookmarkStart w:id="46" w:name="_Toc26718931"/>
      <w:bookmarkStart w:id="47" w:name="_Toc223181374"/>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5D3B471FD7614EB5ACEF0BDDAF392F1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D110EF4">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277965C">
      <w:pPr>
        <w:pStyle w:val="230"/>
        <w:rPr>
          <w:rFonts w:ascii="Times New Roman"/>
        </w:rPr>
      </w:pPr>
      <w:r>
        <w:rPr>
          <w:rFonts w:ascii="Times New Roman"/>
        </w:rPr>
        <w:t>GB/T</w:t>
      </w:r>
      <w:r>
        <w:rPr>
          <w:rFonts w:hint="eastAsia" w:ascii="Times New Roman"/>
        </w:rPr>
        <w:t xml:space="preserve"> 5611</w:t>
      </w:r>
      <w:r>
        <w:rPr>
          <w:rFonts w:ascii="Times New Roman"/>
        </w:rPr>
        <w:t xml:space="preserve"> </w:t>
      </w:r>
      <w:r>
        <w:rPr>
          <w:rFonts w:hint="eastAsia" w:ascii="Times New Roman"/>
        </w:rPr>
        <w:t xml:space="preserve"> 铸造术语</w:t>
      </w:r>
    </w:p>
    <w:p w14:paraId="60D01A97">
      <w:pPr>
        <w:pStyle w:val="230"/>
        <w:rPr>
          <w:rFonts w:ascii="Times New Roman"/>
        </w:rPr>
      </w:pPr>
      <w:r>
        <w:rPr>
          <w:rFonts w:hint="eastAsia" w:ascii="Times New Roman"/>
          <w:kern w:val="2"/>
          <w:szCs w:val="21"/>
        </w:rPr>
        <w:t>GB 17167</w:t>
      </w:r>
      <w:r>
        <w:rPr>
          <w:rFonts w:hint="eastAsia"/>
        </w:rPr>
        <w:t xml:space="preserve">  用能单位能源计量器具配备和管理通则</w:t>
      </w:r>
    </w:p>
    <w:p w14:paraId="2A990486">
      <w:pPr>
        <w:pStyle w:val="105"/>
        <w:spacing w:before="240" w:after="240"/>
      </w:pPr>
      <w:bookmarkStart w:id="48" w:name="_Toc223181375"/>
      <w:bookmarkStart w:id="49" w:name="_Toc97196427"/>
      <w:bookmarkStart w:id="50" w:name="_Toc97209184"/>
      <w:r>
        <w:rPr>
          <w:rFonts w:hint="eastAsia"/>
          <w:szCs w:val="21"/>
        </w:rPr>
        <w:t>术语和定义</w:t>
      </w:r>
      <w:bookmarkEnd w:id="48"/>
      <w:bookmarkEnd w:id="49"/>
      <w:bookmarkEnd w:id="50"/>
    </w:p>
    <w:sdt>
      <w:sdtPr>
        <w:rPr>
          <w:rFonts w:ascii="Times New Roman"/>
        </w:rPr>
        <w:id w:val="-1909835108"/>
        <w:placeholder>
          <w:docPart w:val="C6BF9765C2A0476BBFDDB58D58F7C8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14:paraId="4B4F5136">
          <w:pPr>
            <w:pStyle w:val="57"/>
            <w:ind w:firstLine="420"/>
          </w:pPr>
          <w:bookmarkStart w:id="51" w:name="_Toc26986532"/>
          <w:bookmarkEnd w:id="51"/>
          <w:r>
            <w:rPr>
              <w:rFonts w:hint="eastAsia" w:ascii="Times New Roman"/>
            </w:rPr>
            <w:t>GB/T 5611 界定的以及</w:t>
          </w:r>
          <w:r>
            <w:rPr>
              <w:rFonts w:ascii="Times New Roman"/>
            </w:rPr>
            <w:t>下列术语和定义适用于本文件。</w:t>
          </w:r>
        </w:p>
      </w:sdtContent>
    </w:sdt>
    <w:p w14:paraId="3CEB57DD">
      <w:pPr>
        <w:pStyle w:val="224"/>
        <w:rPr>
          <w:rFonts w:hint="eastAsia" w:ascii="黑体" w:hAnsi="黑体" w:eastAsia="黑体"/>
        </w:rPr>
      </w:pPr>
      <w:bookmarkStart w:id="52" w:name="_Toc43281800"/>
      <w:bookmarkStart w:id="53" w:name="_Toc15224"/>
    </w:p>
    <w:p w14:paraId="2B968B8F">
      <w:pPr>
        <w:pStyle w:val="224"/>
        <w:numPr>
          <w:ilvl w:val="0"/>
          <w:numId w:val="0"/>
        </w:numPr>
        <w:ind w:firstLine="424" w:firstLineChars="202"/>
        <w:rPr>
          <w:rFonts w:hint="eastAsia" w:ascii="黑体" w:hAnsi="黑体" w:eastAsia="黑体"/>
        </w:rPr>
      </w:pPr>
      <w:r>
        <w:rPr>
          <w:rFonts w:hint="eastAsia" w:ascii="黑体" w:hAnsi="黑体" w:eastAsia="黑体"/>
        </w:rPr>
        <w:t>耗能工质 energy-consumed medium</w:t>
      </w:r>
    </w:p>
    <w:p w14:paraId="4974B15C">
      <w:pPr>
        <w:pStyle w:val="57"/>
        <w:ind w:firstLine="420"/>
      </w:pPr>
      <w:r>
        <w:rPr>
          <w:rFonts w:hint="eastAsia"/>
        </w:rPr>
        <w:t>在生产过程中所消耗的不作为原料使用、也不进入产品，在生产或制取时需要直接消耗能源的工作物质</w:t>
      </w:r>
    </w:p>
    <w:p w14:paraId="1CC4EA0B">
      <w:pPr>
        <w:pStyle w:val="57"/>
        <w:ind w:firstLine="420"/>
      </w:pPr>
      <w:r>
        <w:rPr>
          <w:rFonts w:hint="eastAsia"/>
        </w:rPr>
        <w:t>[来源：</w:t>
      </w:r>
      <w:r>
        <w:rPr>
          <w:rFonts w:ascii="Times New Roman"/>
        </w:rPr>
        <w:t>GB/T 2589—2020，3.1</w:t>
      </w:r>
      <w:r>
        <w:rPr>
          <w:rFonts w:hint="eastAsia"/>
        </w:rPr>
        <w:t>]</w:t>
      </w:r>
    </w:p>
    <w:p w14:paraId="495376BF">
      <w:pPr>
        <w:pStyle w:val="224"/>
        <w:rPr>
          <w:rFonts w:hint="eastAsia" w:ascii="黑体" w:hAnsi="黑体" w:eastAsia="黑体"/>
        </w:rPr>
      </w:pPr>
    </w:p>
    <w:bookmarkEnd w:id="52"/>
    <w:bookmarkEnd w:id="53"/>
    <w:p w14:paraId="21FF538E">
      <w:pPr>
        <w:pStyle w:val="224"/>
        <w:numPr>
          <w:ilvl w:val="0"/>
          <w:numId w:val="0"/>
        </w:numPr>
        <w:ind w:firstLine="424" w:firstLineChars="202"/>
        <w:rPr>
          <w:rFonts w:hint="eastAsia" w:ascii="黑体" w:hAnsi="黑体" w:eastAsia="黑体"/>
        </w:rPr>
      </w:pPr>
      <w:r>
        <w:rPr>
          <w:rFonts w:hint="eastAsia" w:ascii="黑体" w:hAnsi="黑体" w:eastAsia="黑体"/>
        </w:rPr>
        <w:t>综合能耗 comprehensive energy consumption</w:t>
      </w:r>
    </w:p>
    <w:p w14:paraId="5B354414">
      <w:pPr>
        <w:pStyle w:val="230"/>
      </w:pPr>
      <w:r>
        <w:rPr>
          <w:rFonts w:hint="eastAsia"/>
        </w:rPr>
        <w:t>在统计报告期内生产某种产品或提供某种服务实际消耗的各种能源实物量,按规定的计算方法和单位分别折算后的总和。</w:t>
      </w:r>
    </w:p>
    <w:p w14:paraId="258196C6">
      <w:pPr>
        <w:pStyle w:val="230"/>
        <w:ind w:left="420" w:leftChars="200" w:firstLine="0" w:firstLineChars="0"/>
        <w:rPr>
          <w:sz w:val="18"/>
          <w:szCs w:val="18"/>
        </w:rPr>
      </w:pPr>
      <w:r>
        <w:rPr>
          <w:rFonts w:hint="eastAsia" w:ascii="黑体" w:hAnsi="黑体" w:eastAsia="黑体" w:cs="黑体"/>
          <w:sz w:val="18"/>
          <w:szCs w:val="18"/>
        </w:rPr>
        <w:t>注1:</w:t>
      </w:r>
      <w:r>
        <w:rPr>
          <w:rFonts w:hint="eastAsia"/>
          <w:sz w:val="18"/>
          <w:szCs w:val="18"/>
        </w:rPr>
        <w:t>对生产企业,综合能耗是指统计报告期内,主要生产系统、辅助生产系统和附属生产系统的能耗总和。</w:t>
      </w:r>
    </w:p>
    <w:p w14:paraId="7781E5CB">
      <w:pPr>
        <w:pStyle w:val="230"/>
        <w:ind w:left="420" w:leftChars="200" w:firstLine="0" w:firstLineChars="0"/>
        <w:rPr>
          <w:sz w:val="18"/>
          <w:szCs w:val="18"/>
        </w:rPr>
      </w:pPr>
      <w:r>
        <w:rPr>
          <w:rFonts w:hint="eastAsia" w:ascii="黑体" w:hAnsi="黑体" w:eastAsia="黑体" w:cs="黑体"/>
          <w:sz w:val="18"/>
          <w:szCs w:val="18"/>
        </w:rPr>
        <w:t>注2:</w:t>
      </w:r>
      <w:r>
        <w:rPr>
          <w:rFonts w:hint="eastAsia"/>
          <w:sz w:val="18"/>
          <w:szCs w:val="18"/>
        </w:rPr>
        <w:t>综合能耗的单位通常为:克标准煤(gce)、千克标准煤(kgce)和吨标准煤(tce)等。</w:t>
      </w:r>
    </w:p>
    <w:p w14:paraId="4D59A1F8">
      <w:pPr>
        <w:pStyle w:val="230"/>
      </w:pPr>
      <w:bookmarkStart w:id="54" w:name="OLE_LINK3"/>
      <w:bookmarkStart w:id="55" w:name="OLE_LINK4"/>
      <w:r>
        <w:rPr>
          <w:rFonts w:hint="eastAsia"/>
        </w:rPr>
        <w:t>[</w:t>
      </w:r>
      <w:r>
        <w:rPr>
          <w:rFonts w:hint="eastAsia" w:ascii="Times New Roman"/>
        </w:rPr>
        <w:t>来源：GB/T 2589—2</w:t>
      </w:r>
      <w:bookmarkEnd w:id="54"/>
      <w:bookmarkEnd w:id="55"/>
      <w:r>
        <w:rPr>
          <w:rFonts w:hint="eastAsia" w:ascii="Times New Roman"/>
        </w:rPr>
        <w:t>02</w:t>
      </w:r>
      <w:r>
        <w:rPr>
          <w:rFonts w:ascii="Times New Roman"/>
        </w:rPr>
        <w:t>0</w:t>
      </w:r>
      <w:r>
        <w:rPr>
          <w:rFonts w:hint="eastAsia" w:ascii="Times New Roman"/>
        </w:rPr>
        <w:t>，</w:t>
      </w:r>
      <w:r>
        <w:rPr>
          <w:rFonts w:ascii="Times New Roman"/>
        </w:rPr>
        <w:t>3.5</w:t>
      </w:r>
      <w:r>
        <w:rPr>
          <w:rFonts w:hint="eastAsia"/>
        </w:rPr>
        <w:t>]</w:t>
      </w:r>
      <w:bookmarkStart w:id="56" w:name="_Toc43281801"/>
      <w:bookmarkEnd w:id="56"/>
    </w:p>
    <w:p w14:paraId="02A77F70">
      <w:pPr>
        <w:pStyle w:val="105"/>
        <w:spacing w:before="240" w:after="240"/>
      </w:pPr>
      <w:bookmarkStart w:id="57" w:name="_Toc223181376"/>
      <w:r>
        <w:rPr>
          <w:rFonts w:hint="eastAsia"/>
        </w:rPr>
        <w:t>统计范围</w:t>
      </w:r>
      <w:bookmarkEnd w:id="57"/>
    </w:p>
    <w:p w14:paraId="6ED0A514">
      <w:pPr>
        <w:pStyle w:val="106"/>
        <w:spacing w:before="120" w:after="120"/>
      </w:pPr>
      <w:bookmarkStart w:id="58" w:name="_Toc220348224"/>
      <w:bookmarkStart w:id="59" w:name="_Toc223181377"/>
      <w:bookmarkStart w:id="60" w:name="_Toc32596"/>
      <w:r>
        <w:rPr>
          <w:rFonts w:hint="eastAsia"/>
        </w:rPr>
        <w:t>熔化工序</w:t>
      </w:r>
      <w:bookmarkEnd w:id="58"/>
      <w:bookmarkEnd w:id="59"/>
      <w:bookmarkEnd w:id="60"/>
    </w:p>
    <w:p w14:paraId="5559F5B7">
      <w:pPr>
        <w:pStyle w:val="166"/>
        <w:numPr>
          <w:ilvl w:val="0"/>
          <w:numId w:val="0"/>
        </w:numPr>
        <w:ind w:firstLine="420" w:firstLineChars="200"/>
      </w:pPr>
      <w:r>
        <w:rPr>
          <w:rFonts w:hint="eastAsia"/>
        </w:rPr>
        <w:t>熔化工序能耗为熔化工序生产过程直接消耗的某种能源实物量，包括物料周转、熔化炉加热、精炼、保温等生产过程消耗的能源量。</w:t>
      </w:r>
    </w:p>
    <w:p w14:paraId="77344B36">
      <w:pPr>
        <w:pStyle w:val="106"/>
        <w:spacing w:before="120" w:after="120"/>
      </w:pPr>
      <w:bookmarkStart w:id="61" w:name="_Toc15479"/>
      <w:bookmarkStart w:id="62" w:name="_Toc223181378"/>
      <w:bookmarkStart w:id="63" w:name="_Toc220348225"/>
      <w:bookmarkStart w:id="64" w:name="_Toc18161"/>
      <w:r>
        <w:rPr>
          <w:rFonts w:hint="eastAsia"/>
        </w:rPr>
        <w:t>压铸工序</w:t>
      </w:r>
      <w:bookmarkEnd w:id="61"/>
      <w:bookmarkEnd w:id="62"/>
      <w:bookmarkEnd w:id="63"/>
      <w:bookmarkEnd w:id="64"/>
    </w:p>
    <w:p w14:paraId="2C365FBD">
      <w:pPr>
        <w:pStyle w:val="57"/>
        <w:ind w:firstLine="420"/>
      </w:pPr>
      <w:bookmarkStart w:id="65" w:name="_Toc28738"/>
      <w:r>
        <w:rPr>
          <w:rFonts w:hint="eastAsia"/>
        </w:rPr>
        <w:t>压铸工序能耗包括压铸生产单元中的压铸机、保温炉、模温机、循环水系统、真空系统、机器人、切边机等周边设备消耗的能源量。</w:t>
      </w:r>
      <w:bookmarkEnd w:id="65"/>
    </w:p>
    <w:p w14:paraId="3D0398B9">
      <w:pPr>
        <w:pStyle w:val="106"/>
        <w:spacing w:before="120" w:after="120"/>
      </w:pPr>
      <w:bookmarkStart w:id="66" w:name="_Toc223181379"/>
      <w:r>
        <w:rPr>
          <w:rFonts w:hint="eastAsia"/>
        </w:rPr>
        <w:t>综合能耗</w:t>
      </w:r>
      <w:bookmarkEnd w:id="66"/>
    </w:p>
    <w:p w14:paraId="4E06BA7D">
      <w:pPr>
        <w:pStyle w:val="57"/>
        <w:ind w:firstLine="420"/>
        <w:rPr>
          <w:szCs w:val="21"/>
        </w:rPr>
      </w:pPr>
      <w:r>
        <w:rPr>
          <w:szCs w:val="21"/>
        </w:rPr>
        <w:t>在统计期内，</w:t>
      </w:r>
      <w:r>
        <w:rPr>
          <w:rFonts w:hint="eastAsia"/>
          <w:szCs w:val="21"/>
        </w:rPr>
        <w:t>铝合金压铸</w:t>
      </w:r>
      <w:r>
        <w:rPr>
          <w:szCs w:val="21"/>
        </w:rPr>
        <w:t>件生产过程所消耗的能源总量。其统计范围覆盖主要生产系统、辅助生产系统和附属生产系统的能源消耗，以企业实际投入并消耗的各类能源量为准</w:t>
      </w:r>
      <w:r>
        <w:rPr>
          <w:rFonts w:hint="eastAsia"/>
          <w:szCs w:val="21"/>
        </w:rPr>
        <w:t>，</w:t>
      </w:r>
      <w:r>
        <w:rPr>
          <w:szCs w:val="21"/>
        </w:rPr>
        <w:t>不包括生活用能和批准的基建、技改等项目用能。</w:t>
      </w:r>
    </w:p>
    <w:p w14:paraId="732D199C">
      <w:pPr>
        <w:pStyle w:val="57"/>
        <w:ind w:firstLine="420"/>
        <w:rPr>
          <w:szCs w:val="21"/>
        </w:rPr>
      </w:pPr>
      <w:r>
        <w:rPr>
          <w:szCs w:val="21"/>
        </w:rPr>
        <w:t>主要生产系统</w:t>
      </w:r>
      <w:r>
        <w:rPr>
          <w:rFonts w:hint="eastAsia"/>
          <w:szCs w:val="21"/>
        </w:rPr>
        <w:t>包括：熔化炉、压铸机及周边设备、清理打磨（含抛丸）设备。</w:t>
      </w:r>
    </w:p>
    <w:p w14:paraId="243C6B76">
      <w:pPr>
        <w:pStyle w:val="57"/>
        <w:ind w:firstLine="420"/>
        <w:rPr>
          <w:rFonts w:ascii="Times New Roman"/>
        </w:rPr>
      </w:pPr>
      <w:r>
        <w:rPr>
          <w:szCs w:val="21"/>
        </w:rPr>
        <w:t>辅助生产系统</w:t>
      </w:r>
      <w:r>
        <w:rPr>
          <w:rFonts w:hint="eastAsia"/>
          <w:szCs w:val="21"/>
        </w:rPr>
        <w:t>包括：模具保养维</w:t>
      </w:r>
      <w:r>
        <w:rPr>
          <w:rFonts w:hint="eastAsia"/>
        </w:rPr>
        <w:t>护、空压机、</w:t>
      </w:r>
      <w:r>
        <w:rPr>
          <w:rFonts w:hint="eastAsia" w:ascii="Times New Roman"/>
        </w:rPr>
        <w:t>电力、照明、维保、供水、供气、环保、安全以及砌炉、烘炉、烘浇包等设备。</w:t>
      </w:r>
    </w:p>
    <w:p w14:paraId="3CF35606">
      <w:pPr>
        <w:pStyle w:val="57"/>
        <w:ind w:firstLine="420"/>
        <w:rPr>
          <w:szCs w:val="21"/>
        </w:rPr>
      </w:pPr>
      <w:r>
        <w:rPr>
          <w:rFonts w:hint="eastAsia"/>
          <w:szCs w:val="21"/>
        </w:rPr>
        <w:t>附属生产系统包括：铝合金压铸件生产系统专门配置的生产指挥系统（厂部）和厂区内为生产服务的部门和单位，包括办公室、操作室、工具室、休息室、理化分析、成品检验、仓库、厂区运输等部门和设施。</w:t>
      </w:r>
    </w:p>
    <w:p w14:paraId="5E37FAF2">
      <w:pPr>
        <w:pStyle w:val="105"/>
        <w:spacing w:before="240" w:after="240"/>
      </w:pPr>
      <w:bookmarkStart w:id="67" w:name="_Toc223181380"/>
      <w:bookmarkStart w:id="68" w:name="_Toc30719"/>
      <w:r>
        <w:rPr>
          <w:rFonts w:hint="eastAsia"/>
        </w:rPr>
        <w:t>能耗等级</w:t>
      </w:r>
      <w:bookmarkEnd w:id="67"/>
    </w:p>
    <w:p w14:paraId="24A2FCCB">
      <w:pPr>
        <w:pStyle w:val="106"/>
        <w:spacing w:before="120" w:after="120"/>
      </w:pPr>
      <w:bookmarkStart w:id="69" w:name="_Toc220348227"/>
      <w:bookmarkStart w:id="70" w:name="_Toc223181381"/>
      <w:bookmarkStart w:id="71" w:name="_Toc20272"/>
      <w:r>
        <w:rPr>
          <w:rFonts w:hint="eastAsia"/>
        </w:rPr>
        <w:t>熔化工序单位铝液能耗</w:t>
      </w:r>
      <w:bookmarkEnd w:id="69"/>
      <w:bookmarkEnd w:id="70"/>
      <w:bookmarkEnd w:id="71"/>
    </w:p>
    <w:p w14:paraId="1BC8BA49">
      <w:pPr>
        <w:pStyle w:val="57"/>
        <w:ind w:firstLine="420"/>
      </w:pPr>
      <w:r>
        <w:rPr>
          <w:rFonts w:hint="eastAsia"/>
        </w:rPr>
        <w:t>燃气式集中熔化炉单位能</w:t>
      </w:r>
      <w:r>
        <w:rPr>
          <w:rFonts w:ascii="Times New Roman"/>
        </w:rPr>
        <w:t>耗等级分为3级，其中1级能耗最低。</w:t>
      </w:r>
      <w:bookmarkStart w:id="72" w:name="OLE_LINK2"/>
      <w:r>
        <w:rPr>
          <w:rFonts w:ascii="Times New Roman"/>
        </w:rPr>
        <w:t>各等级能耗值见表1</w:t>
      </w:r>
      <w:r>
        <w:rPr>
          <w:rFonts w:hint="eastAsia"/>
        </w:rPr>
        <w:t>。</w:t>
      </w:r>
      <w:bookmarkEnd w:id="72"/>
    </w:p>
    <w:p w14:paraId="7E9F4162">
      <w:pPr>
        <w:pStyle w:val="113"/>
        <w:spacing w:before="120" w:after="120"/>
        <w:rPr>
          <w:rFonts w:hint="eastAsia" w:hAnsi="黑体"/>
          <w:szCs w:val="21"/>
        </w:rPr>
      </w:pPr>
      <w:r>
        <w:rPr>
          <w:rFonts w:hint="eastAsia" w:hAnsi="黑体"/>
          <w:szCs w:val="21"/>
        </w:rPr>
        <w:t>熔化工序单位铝液能耗等级</w:t>
      </w:r>
    </w:p>
    <w:p w14:paraId="3E9C35A7">
      <w:pPr>
        <w:pStyle w:val="113"/>
        <w:numPr>
          <w:ilvl w:val="0"/>
          <w:numId w:val="0"/>
        </w:numPr>
        <w:spacing w:before="0" w:beforeLines="0" w:after="0" w:afterLines="0"/>
        <w:jc w:val="right"/>
        <w:rPr>
          <w:rFonts w:hint="eastAsia" w:ascii="宋体" w:hAnsi="宋体" w:eastAsia="宋体" w:cs="宋体"/>
        </w:rPr>
      </w:pPr>
      <w:r>
        <w:rPr>
          <w:rFonts w:hint="eastAsia" w:ascii="宋体" w:hAnsi="宋体" w:eastAsia="宋体" w:cs="宋体"/>
          <w:sz w:val="18"/>
          <w:szCs w:val="18"/>
        </w:rPr>
        <w:t>单位为kgce/t</w:t>
      </w:r>
    </w:p>
    <w:tbl>
      <w:tblPr>
        <w:tblStyle w:val="28"/>
        <w:tblpPr w:leftFromText="180" w:rightFromText="180" w:vertAnchor="text" w:horzAnchor="margin" w:tblpX="-10" w:tblpY="124"/>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0"/>
        <w:gridCol w:w="2203"/>
        <w:gridCol w:w="2410"/>
        <w:gridCol w:w="2541"/>
      </w:tblGrid>
      <w:tr w14:paraId="0275B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0" w:hRule="atLeast"/>
        </w:trPr>
        <w:tc>
          <w:tcPr>
            <w:tcW w:w="2480" w:type="dxa"/>
            <w:vMerge w:val="restart"/>
            <w:vAlign w:val="center"/>
          </w:tcPr>
          <w:p w14:paraId="09C3149F">
            <w:pPr>
              <w:pStyle w:val="57"/>
              <w:ind w:firstLine="0" w:firstLineChars="0"/>
              <w:jc w:val="center"/>
              <w:rPr>
                <w:sz w:val="18"/>
                <w:szCs w:val="18"/>
              </w:rPr>
            </w:pPr>
            <w:r>
              <w:rPr>
                <w:rFonts w:hint="eastAsia"/>
                <w:sz w:val="18"/>
                <w:szCs w:val="18"/>
              </w:rPr>
              <w:t>熔化设备</w:t>
            </w:r>
          </w:p>
        </w:tc>
        <w:tc>
          <w:tcPr>
            <w:tcW w:w="7154" w:type="dxa"/>
            <w:gridSpan w:val="3"/>
            <w:vAlign w:val="center"/>
          </w:tcPr>
          <w:p w14:paraId="1BFAE025">
            <w:pPr>
              <w:pStyle w:val="57"/>
              <w:ind w:firstLine="0" w:firstLineChars="0"/>
              <w:jc w:val="center"/>
              <w:rPr>
                <w:sz w:val="18"/>
                <w:szCs w:val="18"/>
              </w:rPr>
            </w:pPr>
            <w:r>
              <w:rPr>
                <w:rFonts w:hint="eastAsia"/>
                <w:sz w:val="18"/>
                <w:szCs w:val="18"/>
              </w:rPr>
              <w:t>能耗值</w:t>
            </w:r>
          </w:p>
        </w:tc>
      </w:tr>
      <w:tr w14:paraId="4131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2480" w:type="dxa"/>
            <w:vMerge w:val="continue"/>
            <w:vAlign w:val="center"/>
          </w:tcPr>
          <w:p w14:paraId="780A9043">
            <w:pPr>
              <w:pStyle w:val="57"/>
              <w:ind w:firstLine="0" w:firstLineChars="0"/>
              <w:rPr>
                <w:sz w:val="18"/>
                <w:szCs w:val="18"/>
              </w:rPr>
            </w:pPr>
          </w:p>
        </w:tc>
        <w:tc>
          <w:tcPr>
            <w:tcW w:w="2203" w:type="dxa"/>
            <w:vAlign w:val="center"/>
          </w:tcPr>
          <w:p w14:paraId="484D445E">
            <w:pPr>
              <w:pStyle w:val="57"/>
              <w:ind w:firstLine="0" w:firstLineChars="0"/>
              <w:jc w:val="center"/>
              <w:rPr>
                <w:rFonts w:ascii="Times New Roman"/>
                <w:sz w:val="18"/>
                <w:szCs w:val="18"/>
              </w:rPr>
            </w:pPr>
            <w:r>
              <w:rPr>
                <w:rFonts w:ascii="Times New Roman"/>
                <w:sz w:val="18"/>
                <w:szCs w:val="18"/>
              </w:rPr>
              <w:t>1级</w:t>
            </w:r>
          </w:p>
        </w:tc>
        <w:tc>
          <w:tcPr>
            <w:tcW w:w="2410" w:type="dxa"/>
            <w:vAlign w:val="center"/>
          </w:tcPr>
          <w:p w14:paraId="57449573">
            <w:pPr>
              <w:pStyle w:val="57"/>
              <w:ind w:firstLine="0" w:firstLineChars="0"/>
              <w:jc w:val="center"/>
              <w:rPr>
                <w:rFonts w:ascii="Times New Roman"/>
                <w:sz w:val="18"/>
                <w:szCs w:val="18"/>
              </w:rPr>
            </w:pPr>
            <w:r>
              <w:rPr>
                <w:rFonts w:ascii="Times New Roman"/>
                <w:sz w:val="18"/>
                <w:szCs w:val="18"/>
              </w:rPr>
              <w:t>2级</w:t>
            </w:r>
          </w:p>
        </w:tc>
        <w:tc>
          <w:tcPr>
            <w:tcW w:w="2541" w:type="dxa"/>
            <w:vAlign w:val="center"/>
          </w:tcPr>
          <w:p w14:paraId="7D264BAB">
            <w:pPr>
              <w:pStyle w:val="57"/>
              <w:ind w:firstLine="0" w:firstLineChars="0"/>
              <w:jc w:val="center"/>
              <w:rPr>
                <w:rFonts w:ascii="Times New Roman"/>
                <w:sz w:val="18"/>
                <w:szCs w:val="18"/>
              </w:rPr>
            </w:pPr>
            <w:r>
              <w:rPr>
                <w:rFonts w:ascii="Times New Roman"/>
                <w:sz w:val="18"/>
                <w:szCs w:val="18"/>
              </w:rPr>
              <w:t>3级</w:t>
            </w:r>
          </w:p>
        </w:tc>
      </w:tr>
      <w:tr w14:paraId="596C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2480" w:type="dxa"/>
            <w:vAlign w:val="center"/>
          </w:tcPr>
          <w:p w14:paraId="30545048">
            <w:pPr>
              <w:pStyle w:val="57"/>
              <w:ind w:firstLine="0" w:firstLineChars="0"/>
              <w:jc w:val="center"/>
              <w:rPr>
                <w:sz w:val="18"/>
                <w:szCs w:val="18"/>
              </w:rPr>
            </w:pPr>
            <w:r>
              <w:rPr>
                <w:rFonts w:hint="eastAsia"/>
                <w:sz w:val="18"/>
                <w:szCs w:val="18"/>
              </w:rPr>
              <w:t>燃气式集中熔化炉</w:t>
            </w:r>
          </w:p>
        </w:tc>
        <w:tc>
          <w:tcPr>
            <w:tcW w:w="2203" w:type="dxa"/>
            <w:vAlign w:val="center"/>
          </w:tcPr>
          <w:p w14:paraId="2D98A589">
            <w:pPr>
              <w:pStyle w:val="57"/>
              <w:ind w:firstLine="0" w:firstLineChars="0"/>
              <w:jc w:val="center"/>
              <w:rPr>
                <w:rFonts w:ascii="Times New Roman"/>
                <w:sz w:val="18"/>
                <w:szCs w:val="18"/>
              </w:rPr>
            </w:pPr>
            <w:r>
              <w:rPr>
                <w:rFonts w:hint="eastAsia" w:ascii="Times New Roman"/>
                <w:color w:val="000000" w:themeColor="text1"/>
                <w:sz w:val="18"/>
                <w:szCs w:val="18"/>
                <w14:textFill>
                  <w14:solidFill>
                    <w14:schemeClr w14:val="tx1"/>
                  </w14:solidFill>
                </w14:textFill>
              </w:rPr>
              <w:t>≤</w:t>
            </w:r>
            <w:r>
              <w:rPr>
                <w:rFonts w:ascii="Times New Roman"/>
                <w:sz w:val="18"/>
                <w:szCs w:val="18"/>
              </w:rPr>
              <w:t>120</w:t>
            </w:r>
          </w:p>
        </w:tc>
        <w:tc>
          <w:tcPr>
            <w:tcW w:w="2410" w:type="dxa"/>
            <w:vAlign w:val="center"/>
          </w:tcPr>
          <w:p w14:paraId="54134844">
            <w:pPr>
              <w:pStyle w:val="57"/>
              <w:ind w:firstLine="0" w:firstLineChars="0"/>
              <w:jc w:val="center"/>
              <w:rPr>
                <w:rFonts w:ascii="Times New Roman"/>
                <w:sz w:val="18"/>
                <w:szCs w:val="18"/>
              </w:rPr>
            </w:pPr>
            <w:r>
              <w:rPr>
                <w:rFonts w:hint="eastAsia" w:ascii="Times New Roman"/>
                <w:color w:val="000000" w:themeColor="text1"/>
                <w:sz w:val="18"/>
                <w:szCs w:val="18"/>
                <w14:textFill>
                  <w14:solidFill>
                    <w14:schemeClr w14:val="tx1"/>
                  </w14:solidFill>
                </w14:textFill>
              </w:rPr>
              <w:t>≤</w:t>
            </w:r>
            <w:r>
              <w:rPr>
                <w:rFonts w:ascii="Times New Roman"/>
                <w:sz w:val="18"/>
                <w:szCs w:val="18"/>
              </w:rPr>
              <w:t>150</w:t>
            </w:r>
          </w:p>
        </w:tc>
        <w:tc>
          <w:tcPr>
            <w:tcW w:w="2541" w:type="dxa"/>
            <w:vAlign w:val="center"/>
          </w:tcPr>
          <w:p w14:paraId="02C84E32">
            <w:pPr>
              <w:pStyle w:val="57"/>
              <w:ind w:firstLine="0" w:firstLineChars="0"/>
              <w:jc w:val="center"/>
              <w:rPr>
                <w:rFonts w:ascii="Times New Roman"/>
                <w:sz w:val="18"/>
                <w:szCs w:val="18"/>
              </w:rPr>
            </w:pPr>
            <w:r>
              <w:rPr>
                <w:rFonts w:hint="eastAsia" w:ascii="Times New Roman"/>
                <w:color w:val="000000" w:themeColor="text1"/>
                <w:sz w:val="18"/>
                <w:szCs w:val="18"/>
                <w14:textFill>
                  <w14:solidFill>
                    <w14:schemeClr w14:val="tx1"/>
                  </w14:solidFill>
                </w14:textFill>
              </w:rPr>
              <w:t>≤</w:t>
            </w:r>
            <w:r>
              <w:rPr>
                <w:rFonts w:ascii="Times New Roman"/>
                <w:sz w:val="18"/>
                <w:szCs w:val="18"/>
              </w:rPr>
              <w:t>200</w:t>
            </w:r>
          </w:p>
        </w:tc>
      </w:tr>
      <w:tr w14:paraId="3522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9634" w:type="dxa"/>
            <w:gridSpan w:val="4"/>
            <w:vAlign w:val="center"/>
          </w:tcPr>
          <w:p w14:paraId="32887CAB">
            <w:pPr>
              <w:pStyle w:val="57"/>
              <w:ind w:firstLine="360"/>
              <w:rPr>
                <w:sz w:val="18"/>
                <w:szCs w:val="18"/>
              </w:rPr>
            </w:pPr>
            <w:r>
              <w:rPr>
                <w:rFonts w:hint="eastAsia" w:ascii="黑体" w:hAnsi="黑体" w:eastAsia="黑体" w:cs="黑体"/>
                <w:sz w:val="18"/>
                <w:szCs w:val="18"/>
              </w:rPr>
              <w:t>注1：</w:t>
            </w:r>
            <w:r>
              <w:rPr>
                <w:rFonts w:hint="eastAsia"/>
                <w:sz w:val="18"/>
                <w:szCs w:val="18"/>
              </w:rPr>
              <w:t>目前采用电加热炉</w:t>
            </w:r>
            <w:bookmarkStart w:id="73" w:name="OLE_LINK8"/>
            <w:r>
              <w:rPr>
                <w:rFonts w:hint="eastAsia"/>
                <w:sz w:val="18"/>
                <w:szCs w:val="18"/>
              </w:rPr>
              <w:t>熔化的企业仅用于单件、小批量生产，新材料试验等</w:t>
            </w:r>
            <w:bookmarkEnd w:id="73"/>
            <w:r>
              <w:rPr>
                <w:rFonts w:hint="eastAsia"/>
                <w:sz w:val="18"/>
                <w:szCs w:val="18"/>
              </w:rPr>
              <w:t>，不单独列出。</w:t>
            </w:r>
          </w:p>
          <w:p w14:paraId="39238224">
            <w:pPr>
              <w:pStyle w:val="57"/>
              <w:ind w:firstLine="360"/>
              <w:rPr>
                <w:sz w:val="18"/>
                <w:szCs w:val="18"/>
              </w:rPr>
            </w:pPr>
            <w:r>
              <w:rPr>
                <w:rFonts w:hint="eastAsia" w:ascii="黑体" w:hAnsi="黑体" w:eastAsia="黑体" w:cs="黑体"/>
                <w:sz w:val="18"/>
                <w:szCs w:val="18"/>
              </w:rPr>
              <w:t>注2：</w:t>
            </w:r>
            <w:r>
              <w:rPr>
                <w:rFonts w:hint="eastAsia"/>
                <w:sz w:val="18"/>
                <w:szCs w:val="18"/>
              </w:rPr>
              <w:t>采用机边炉熔化的企业相关指标要求统一合并至表2对应等级。</w:t>
            </w:r>
          </w:p>
          <w:p w14:paraId="224466A3">
            <w:pPr>
              <w:pStyle w:val="57"/>
              <w:ind w:firstLine="360"/>
              <w:rPr>
                <w:sz w:val="18"/>
                <w:szCs w:val="18"/>
              </w:rPr>
            </w:pPr>
            <w:r>
              <w:rPr>
                <w:rFonts w:hint="eastAsia" w:ascii="黑体" w:hAnsi="黑体" w:eastAsia="黑体" w:cs="黑体"/>
                <w:sz w:val="18"/>
                <w:szCs w:val="18"/>
              </w:rPr>
              <w:t>注3：</w:t>
            </w:r>
            <w:r>
              <w:rPr>
                <w:rFonts w:hint="eastAsia"/>
                <w:sz w:val="18"/>
                <w:szCs w:val="18"/>
              </w:rPr>
              <w:t>采用铝液直供的企业熔化工序不作要求。</w:t>
            </w:r>
          </w:p>
        </w:tc>
      </w:tr>
    </w:tbl>
    <w:p w14:paraId="7E150F0F">
      <w:pPr>
        <w:pStyle w:val="106"/>
        <w:spacing w:before="120" w:after="120"/>
      </w:pPr>
      <w:bookmarkStart w:id="74" w:name="_Toc220348228"/>
      <w:bookmarkStart w:id="75" w:name="_Toc223181382"/>
      <w:bookmarkStart w:id="76" w:name="_Toc8949"/>
      <w:r>
        <w:rPr>
          <w:rFonts w:hint="eastAsia"/>
        </w:rPr>
        <w:t>压铸工序单位产品能耗</w:t>
      </w:r>
      <w:bookmarkEnd w:id="68"/>
      <w:bookmarkEnd w:id="74"/>
      <w:bookmarkEnd w:id="75"/>
      <w:bookmarkEnd w:id="76"/>
    </w:p>
    <w:p w14:paraId="08EFBEB8">
      <w:pPr>
        <w:pStyle w:val="57"/>
        <w:ind w:firstLine="420"/>
      </w:pPr>
      <w:r>
        <w:rPr>
          <w:rFonts w:hint="eastAsia"/>
        </w:rPr>
        <w:t>压铸工序单位产品能耗等</w:t>
      </w:r>
      <w:r>
        <w:rPr>
          <w:rFonts w:ascii="Times New Roman"/>
        </w:rPr>
        <w:t>级分为3级，其中1级能耗最低。各等级能耗值见表</w:t>
      </w:r>
      <w:r>
        <w:rPr>
          <w:rFonts w:hint="eastAsia" w:ascii="Times New Roman"/>
        </w:rPr>
        <w:t>2</w:t>
      </w:r>
      <w:r>
        <w:rPr>
          <w:rFonts w:hint="eastAsia"/>
        </w:rPr>
        <w:t>。</w:t>
      </w:r>
    </w:p>
    <w:p w14:paraId="70744D84">
      <w:pPr>
        <w:pStyle w:val="113"/>
        <w:spacing w:before="120" w:after="120"/>
      </w:pPr>
      <w:r>
        <w:rPr>
          <w:rFonts w:hint="eastAsia" w:hAnsi="黑体"/>
          <w:szCs w:val="21"/>
        </w:rPr>
        <w:t>压铸单位产品能耗等级</w:t>
      </w:r>
    </w:p>
    <w:p w14:paraId="38CEB564">
      <w:pPr>
        <w:pStyle w:val="113"/>
        <w:numPr>
          <w:ilvl w:val="0"/>
          <w:numId w:val="0"/>
        </w:numPr>
        <w:spacing w:before="0" w:beforeLines="0" w:after="0" w:afterLines="0"/>
        <w:jc w:val="right"/>
        <w:rPr>
          <w:rFonts w:hint="eastAsia" w:ascii="宋体" w:hAnsi="宋体" w:eastAsia="宋体" w:cs="宋体"/>
          <w:sz w:val="18"/>
          <w:szCs w:val="18"/>
        </w:rPr>
      </w:pPr>
      <w:r>
        <w:rPr>
          <w:rFonts w:hint="eastAsia" w:ascii="宋体" w:hAnsi="宋体" w:eastAsia="宋体" w:cs="宋体"/>
          <w:sz w:val="18"/>
          <w:szCs w:val="18"/>
        </w:rPr>
        <w:t>单位为kgce/t</w:t>
      </w:r>
    </w:p>
    <w:tbl>
      <w:tblPr>
        <w:tblStyle w:val="28"/>
        <w:tblpPr w:leftFromText="180" w:rightFromText="180" w:vertAnchor="text" w:horzAnchor="margin" w:tblpY="124"/>
        <w:tblW w:w="96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0"/>
        <w:gridCol w:w="2061"/>
        <w:gridCol w:w="2410"/>
        <w:gridCol w:w="2737"/>
      </w:tblGrid>
      <w:tr w14:paraId="63D5E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2470" w:type="dxa"/>
            <w:vMerge w:val="restart"/>
            <w:vAlign w:val="center"/>
          </w:tcPr>
          <w:p w14:paraId="6D11A1A8">
            <w:pPr>
              <w:pStyle w:val="57"/>
              <w:ind w:firstLine="0" w:firstLineChars="0"/>
              <w:jc w:val="center"/>
              <w:rPr>
                <w:sz w:val="18"/>
                <w:szCs w:val="18"/>
              </w:rPr>
            </w:pPr>
            <w:r>
              <w:rPr>
                <w:rFonts w:hint="eastAsia"/>
                <w:sz w:val="18"/>
                <w:szCs w:val="18"/>
              </w:rPr>
              <w:t>工序名称</w:t>
            </w:r>
          </w:p>
        </w:tc>
        <w:tc>
          <w:tcPr>
            <w:tcW w:w="7208" w:type="dxa"/>
            <w:gridSpan w:val="3"/>
            <w:vAlign w:val="center"/>
          </w:tcPr>
          <w:p w14:paraId="58738C30">
            <w:pPr>
              <w:pStyle w:val="57"/>
              <w:ind w:firstLine="0" w:firstLineChars="0"/>
              <w:jc w:val="center"/>
              <w:rPr>
                <w:sz w:val="18"/>
                <w:szCs w:val="18"/>
              </w:rPr>
            </w:pPr>
            <w:r>
              <w:rPr>
                <w:rFonts w:hint="eastAsia"/>
                <w:sz w:val="18"/>
                <w:szCs w:val="18"/>
              </w:rPr>
              <w:t>能耗值</w:t>
            </w:r>
          </w:p>
        </w:tc>
      </w:tr>
      <w:tr w14:paraId="4FE6E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2470" w:type="dxa"/>
            <w:vMerge w:val="continue"/>
            <w:vAlign w:val="center"/>
          </w:tcPr>
          <w:p w14:paraId="1FD16392">
            <w:pPr>
              <w:pStyle w:val="57"/>
              <w:ind w:firstLine="0" w:firstLineChars="0"/>
              <w:jc w:val="center"/>
              <w:rPr>
                <w:sz w:val="18"/>
                <w:szCs w:val="18"/>
              </w:rPr>
            </w:pPr>
          </w:p>
        </w:tc>
        <w:tc>
          <w:tcPr>
            <w:tcW w:w="2061" w:type="dxa"/>
            <w:vAlign w:val="center"/>
          </w:tcPr>
          <w:p w14:paraId="3EE5A13F">
            <w:pPr>
              <w:pStyle w:val="57"/>
              <w:ind w:firstLine="0" w:firstLineChars="0"/>
              <w:jc w:val="center"/>
              <w:rPr>
                <w:rFonts w:ascii="Times New Roman"/>
                <w:sz w:val="18"/>
                <w:szCs w:val="18"/>
              </w:rPr>
            </w:pPr>
            <w:r>
              <w:rPr>
                <w:rFonts w:ascii="Times New Roman"/>
                <w:sz w:val="18"/>
                <w:szCs w:val="18"/>
              </w:rPr>
              <w:t>1级</w:t>
            </w:r>
          </w:p>
        </w:tc>
        <w:tc>
          <w:tcPr>
            <w:tcW w:w="2410" w:type="dxa"/>
            <w:vAlign w:val="center"/>
          </w:tcPr>
          <w:p w14:paraId="0A67B320">
            <w:pPr>
              <w:pStyle w:val="57"/>
              <w:ind w:firstLine="0" w:firstLineChars="0"/>
              <w:jc w:val="center"/>
              <w:rPr>
                <w:rFonts w:ascii="Times New Roman"/>
                <w:sz w:val="18"/>
                <w:szCs w:val="18"/>
              </w:rPr>
            </w:pPr>
            <w:r>
              <w:rPr>
                <w:rFonts w:ascii="Times New Roman"/>
                <w:sz w:val="18"/>
                <w:szCs w:val="18"/>
              </w:rPr>
              <w:t>2级</w:t>
            </w:r>
          </w:p>
        </w:tc>
        <w:tc>
          <w:tcPr>
            <w:tcW w:w="2737" w:type="dxa"/>
            <w:vAlign w:val="center"/>
          </w:tcPr>
          <w:p w14:paraId="474F7FCF">
            <w:pPr>
              <w:pStyle w:val="57"/>
              <w:ind w:firstLine="0" w:firstLineChars="0"/>
              <w:jc w:val="center"/>
              <w:rPr>
                <w:rFonts w:ascii="Times New Roman"/>
                <w:sz w:val="18"/>
                <w:szCs w:val="18"/>
              </w:rPr>
            </w:pPr>
            <w:r>
              <w:rPr>
                <w:rFonts w:ascii="Times New Roman"/>
                <w:sz w:val="18"/>
                <w:szCs w:val="18"/>
              </w:rPr>
              <w:t>3级</w:t>
            </w:r>
          </w:p>
        </w:tc>
      </w:tr>
      <w:tr w14:paraId="403F3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2470" w:type="dxa"/>
            <w:vAlign w:val="center"/>
          </w:tcPr>
          <w:p w14:paraId="69914A78">
            <w:pPr>
              <w:pStyle w:val="57"/>
              <w:ind w:firstLine="0" w:firstLineChars="0"/>
              <w:jc w:val="center"/>
              <w:rPr>
                <w:sz w:val="18"/>
                <w:szCs w:val="18"/>
              </w:rPr>
            </w:pPr>
            <w:r>
              <w:rPr>
                <w:rFonts w:hint="eastAsia"/>
                <w:sz w:val="18"/>
                <w:szCs w:val="18"/>
              </w:rPr>
              <w:t>压铸</w:t>
            </w:r>
          </w:p>
        </w:tc>
        <w:tc>
          <w:tcPr>
            <w:tcW w:w="2061" w:type="dxa"/>
            <w:vAlign w:val="center"/>
          </w:tcPr>
          <w:p w14:paraId="05E2D914">
            <w:pPr>
              <w:pStyle w:val="57"/>
              <w:ind w:firstLine="0" w:firstLineChars="0"/>
              <w:jc w:val="center"/>
              <w:rPr>
                <w:rFonts w:ascii="Times New Roman"/>
                <w:sz w:val="18"/>
                <w:szCs w:val="18"/>
              </w:rPr>
            </w:pPr>
            <w:r>
              <w:rPr>
                <w:rFonts w:hint="eastAsia" w:ascii="Times New Roman"/>
                <w:color w:val="000000" w:themeColor="text1"/>
                <w:sz w:val="18"/>
                <w:szCs w:val="18"/>
                <w14:textFill>
                  <w14:solidFill>
                    <w14:schemeClr w14:val="tx1"/>
                  </w14:solidFill>
                </w14:textFill>
              </w:rPr>
              <w:t>≤</w:t>
            </w:r>
            <w:r>
              <w:rPr>
                <w:rFonts w:hint="eastAsia" w:ascii="Times New Roman"/>
                <w:sz w:val="18"/>
                <w:szCs w:val="18"/>
              </w:rPr>
              <w:t>18</w:t>
            </w:r>
            <w:r>
              <w:rPr>
                <w:rFonts w:ascii="Times New Roman"/>
                <w:sz w:val="18"/>
                <w:szCs w:val="18"/>
              </w:rPr>
              <w:t>0</w:t>
            </w:r>
          </w:p>
        </w:tc>
        <w:tc>
          <w:tcPr>
            <w:tcW w:w="2410" w:type="dxa"/>
            <w:vAlign w:val="center"/>
          </w:tcPr>
          <w:p w14:paraId="6AAE94ED">
            <w:pPr>
              <w:pStyle w:val="57"/>
              <w:ind w:firstLine="0" w:firstLineChars="0"/>
              <w:jc w:val="center"/>
              <w:rPr>
                <w:rFonts w:ascii="Times New Roman"/>
                <w:sz w:val="18"/>
                <w:szCs w:val="18"/>
              </w:rPr>
            </w:pPr>
            <w:r>
              <w:rPr>
                <w:rFonts w:hint="eastAsia" w:ascii="Times New Roman"/>
                <w:color w:val="000000" w:themeColor="text1"/>
                <w:sz w:val="18"/>
                <w:szCs w:val="18"/>
                <w14:textFill>
                  <w14:solidFill>
                    <w14:schemeClr w14:val="tx1"/>
                  </w14:solidFill>
                </w14:textFill>
              </w:rPr>
              <w:t>≤</w:t>
            </w:r>
            <w:r>
              <w:rPr>
                <w:rFonts w:hint="eastAsia" w:ascii="Times New Roman"/>
                <w:sz w:val="18"/>
                <w:szCs w:val="18"/>
              </w:rPr>
              <w:t>26</w:t>
            </w:r>
            <w:r>
              <w:rPr>
                <w:rFonts w:ascii="Times New Roman"/>
                <w:sz w:val="18"/>
                <w:szCs w:val="18"/>
              </w:rPr>
              <w:t>0</w:t>
            </w:r>
          </w:p>
        </w:tc>
        <w:tc>
          <w:tcPr>
            <w:tcW w:w="2737" w:type="dxa"/>
            <w:vAlign w:val="center"/>
          </w:tcPr>
          <w:p w14:paraId="46943EEF">
            <w:pPr>
              <w:pStyle w:val="57"/>
              <w:ind w:firstLine="0" w:firstLineChars="0"/>
              <w:jc w:val="center"/>
              <w:rPr>
                <w:rFonts w:ascii="Times New Roman"/>
                <w:sz w:val="18"/>
                <w:szCs w:val="18"/>
              </w:rPr>
            </w:pPr>
            <w:r>
              <w:rPr>
                <w:rFonts w:hint="eastAsia" w:ascii="Times New Roman"/>
                <w:color w:val="000000" w:themeColor="text1"/>
                <w:sz w:val="18"/>
                <w:szCs w:val="18"/>
                <w14:textFill>
                  <w14:solidFill>
                    <w14:schemeClr w14:val="tx1"/>
                  </w14:solidFill>
                </w14:textFill>
              </w:rPr>
              <w:t>≤</w:t>
            </w:r>
            <w:r>
              <w:rPr>
                <w:rFonts w:hint="eastAsia" w:ascii="Times New Roman"/>
                <w:sz w:val="18"/>
                <w:szCs w:val="18"/>
              </w:rPr>
              <w:t>35</w:t>
            </w:r>
            <w:r>
              <w:rPr>
                <w:rFonts w:ascii="Times New Roman"/>
                <w:sz w:val="18"/>
                <w:szCs w:val="18"/>
              </w:rPr>
              <w:t>0</w:t>
            </w:r>
          </w:p>
        </w:tc>
      </w:tr>
      <w:tr w14:paraId="26C2A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9678" w:type="dxa"/>
            <w:gridSpan w:val="4"/>
            <w:vAlign w:val="center"/>
          </w:tcPr>
          <w:p w14:paraId="53B375FF">
            <w:pPr>
              <w:pStyle w:val="57"/>
              <w:ind w:firstLine="360"/>
              <w:rPr>
                <w:sz w:val="18"/>
                <w:szCs w:val="18"/>
              </w:rPr>
            </w:pPr>
            <w:r>
              <w:rPr>
                <w:rFonts w:hint="eastAsia" w:ascii="黑体" w:hAnsi="黑体" w:eastAsia="黑体" w:cs="黑体"/>
                <w:sz w:val="18"/>
                <w:szCs w:val="18"/>
              </w:rPr>
              <w:t>注1：</w:t>
            </w:r>
            <w:r>
              <w:rPr>
                <w:rFonts w:hint="eastAsia"/>
                <w:sz w:val="18"/>
                <w:szCs w:val="18"/>
              </w:rPr>
              <w:t>采用机边炉熔化</w:t>
            </w:r>
            <w:r>
              <w:rPr>
                <w:rFonts w:ascii="Times New Roman"/>
                <w:sz w:val="18"/>
                <w:szCs w:val="18"/>
              </w:rPr>
              <w:t>的企业</w:t>
            </w:r>
            <w:r>
              <w:rPr>
                <w:rFonts w:hint="eastAsia" w:ascii="Times New Roman"/>
                <w:sz w:val="18"/>
                <w:szCs w:val="18"/>
              </w:rPr>
              <w:t>，其</w:t>
            </w:r>
            <w:r>
              <w:rPr>
                <w:rFonts w:ascii="Times New Roman"/>
                <w:sz w:val="18"/>
                <w:szCs w:val="18"/>
              </w:rPr>
              <w:t>1</w:t>
            </w:r>
            <w:r>
              <w:rPr>
                <w:rFonts w:hint="eastAsia" w:ascii="Times New Roman"/>
                <w:sz w:val="18"/>
                <w:szCs w:val="18"/>
              </w:rPr>
              <w:t>级</w:t>
            </w:r>
            <w:r>
              <w:rPr>
                <w:rFonts w:ascii="Times New Roman"/>
                <w:sz w:val="18"/>
                <w:szCs w:val="18"/>
              </w:rPr>
              <w:t>、2</w:t>
            </w:r>
            <w:r>
              <w:rPr>
                <w:rFonts w:hint="eastAsia" w:ascii="Times New Roman"/>
                <w:sz w:val="18"/>
                <w:szCs w:val="18"/>
              </w:rPr>
              <w:t>级</w:t>
            </w:r>
            <w:r>
              <w:rPr>
                <w:rFonts w:ascii="Times New Roman"/>
                <w:sz w:val="18"/>
                <w:szCs w:val="18"/>
              </w:rPr>
              <w:t>、3级指标分别为≤300kgce/t、≤410kgce/t、≤550kgce/t</w:t>
            </w:r>
            <w:r>
              <w:rPr>
                <w:rFonts w:hint="eastAsia" w:hAnsi="宋体" w:cs="宋体"/>
                <w:sz w:val="18"/>
                <w:szCs w:val="18"/>
              </w:rPr>
              <w:t>。</w:t>
            </w:r>
          </w:p>
        </w:tc>
      </w:tr>
    </w:tbl>
    <w:p w14:paraId="14112771">
      <w:pPr>
        <w:pStyle w:val="106"/>
        <w:spacing w:before="120" w:after="120"/>
      </w:pPr>
      <w:bookmarkStart w:id="77" w:name="_Toc223181383"/>
      <w:bookmarkStart w:id="78" w:name="_Toc30601"/>
      <w:bookmarkStart w:id="79" w:name="_Toc220348229"/>
      <w:r>
        <w:rPr>
          <w:rFonts w:hint="eastAsia"/>
        </w:rPr>
        <w:t>压铸件综合能耗</w:t>
      </w:r>
      <w:bookmarkEnd w:id="77"/>
      <w:bookmarkEnd w:id="78"/>
      <w:bookmarkEnd w:id="79"/>
    </w:p>
    <w:p w14:paraId="7122C4FB">
      <w:pPr>
        <w:pStyle w:val="57"/>
        <w:ind w:firstLine="420"/>
      </w:pPr>
      <w:r>
        <w:rPr>
          <w:rFonts w:hint="eastAsia"/>
        </w:rPr>
        <w:t>压铸件单位产品综合能</w:t>
      </w:r>
      <w:r>
        <w:rPr>
          <w:rFonts w:ascii="Times New Roman"/>
        </w:rPr>
        <w:t>耗等级分为3级，其中1级能耗最低。各等级能耗值见表</w:t>
      </w:r>
      <w:r>
        <w:rPr>
          <w:rFonts w:hint="eastAsia" w:ascii="Times New Roman"/>
        </w:rPr>
        <w:t>3</w:t>
      </w:r>
      <w:r>
        <w:rPr>
          <w:rFonts w:hint="eastAsia"/>
        </w:rPr>
        <w:t>。</w:t>
      </w:r>
    </w:p>
    <w:p w14:paraId="5DEBD475">
      <w:pPr>
        <w:pStyle w:val="113"/>
        <w:spacing w:before="120" w:after="120"/>
      </w:pPr>
      <w:r>
        <w:rPr>
          <w:rFonts w:hint="eastAsia"/>
        </w:rPr>
        <w:t>压铸件单位产品综合能耗等级</w:t>
      </w:r>
    </w:p>
    <w:p w14:paraId="3B426F56">
      <w:pPr>
        <w:pStyle w:val="113"/>
        <w:numPr>
          <w:ilvl w:val="0"/>
          <w:numId w:val="0"/>
        </w:numPr>
        <w:spacing w:before="0" w:beforeLines="0" w:after="0" w:afterLines="0"/>
        <w:jc w:val="right"/>
        <w:rPr>
          <w:rFonts w:hint="eastAsia" w:ascii="宋体" w:hAnsi="宋体" w:eastAsia="宋体" w:cs="宋体"/>
          <w:sz w:val="18"/>
          <w:szCs w:val="18"/>
        </w:rPr>
      </w:pPr>
      <w:r>
        <w:rPr>
          <w:rFonts w:hint="eastAsia" w:ascii="宋体" w:hAnsi="宋体" w:eastAsia="宋体" w:cs="宋体"/>
          <w:sz w:val="18"/>
          <w:szCs w:val="18"/>
        </w:rPr>
        <w:t>单位为kgce/t</w:t>
      </w:r>
    </w:p>
    <w:tbl>
      <w:tblPr>
        <w:tblStyle w:val="28"/>
        <w:tblpPr w:leftFromText="180" w:rightFromText="180" w:vertAnchor="text" w:horzAnchor="margin" w:tblpY="124"/>
        <w:tblW w:w="96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0"/>
        <w:gridCol w:w="2061"/>
        <w:gridCol w:w="2410"/>
        <w:gridCol w:w="2737"/>
      </w:tblGrid>
      <w:tr w14:paraId="64BB9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2470" w:type="dxa"/>
            <w:vMerge w:val="restart"/>
            <w:vAlign w:val="center"/>
          </w:tcPr>
          <w:p w14:paraId="7EB6001E">
            <w:pPr>
              <w:pStyle w:val="57"/>
              <w:ind w:firstLine="0" w:firstLineChars="0"/>
              <w:rPr>
                <w:sz w:val="18"/>
                <w:szCs w:val="18"/>
              </w:rPr>
            </w:pPr>
            <w:r>
              <w:rPr>
                <w:rFonts w:hint="eastAsia"/>
                <w:sz w:val="18"/>
                <w:szCs w:val="18"/>
              </w:rPr>
              <w:t>压铸件单位产品综合能耗值</w:t>
            </w:r>
          </w:p>
        </w:tc>
        <w:tc>
          <w:tcPr>
            <w:tcW w:w="7208" w:type="dxa"/>
            <w:gridSpan w:val="3"/>
            <w:vAlign w:val="center"/>
          </w:tcPr>
          <w:p w14:paraId="272F82D9">
            <w:pPr>
              <w:pStyle w:val="57"/>
              <w:ind w:firstLine="0" w:firstLineChars="0"/>
              <w:jc w:val="center"/>
              <w:rPr>
                <w:sz w:val="18"/>
                <w:szCs w:val="18"/>
              </w:rPr>
            </w:pPr>
            <w:r>
              <w:rPr>
                <w:rFonts w:hint="eastAsia"/>
                <w:sz w:val="18"/>
                <w:szCs w:val="18"/>
              </w:rPr>
              <w:t>能耗值</w:t>
            </w:r>
          </w:p>
        </w:tc>
      </w:tr>
      <w:tr w14:paraId="29B15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2470" w:type="dxa"/>
            <w:vMerge w:val="continue"/>
            <w:vAlign w:val="center"/>
          </w:tcPr>
          <w:p w14:paraId="0B1F18B2">
            <w:pPr>
              <w:pStyle w:val="57"/>
              <w:ind w:firstLine="360"/>
              <w:jc w:val="center"/>
              <w:rPr>
                <w:sz w:val="18"/>
                <w:szCs w:val="18"/>
              </w:rPr>
            </w:pPr>
          </w:p>
        </w:tc>
        <w:tc>
          <w:tcPr>
            <w:tcW w:w="2061" w:type="dxa"/>
            <w:vAlign w:val="center"/>
          </w:tcPr>
          <w:p w14:paraId="43031B23">
            <w:pPr>
              <w:pStyle w:val="57"/>
              <w:ind w:firstLine="0" w:firstLineChars="0"/>
              <w:jc w:val="center"/>
              <w:rPr>
                <w:rFonts w:ascii="Times New Roman"/>
                <w:sz w:val="18"/>
                <w:szCs w:val="18"/>
              </w:rPr>
            </w:pPr>
            <w:r>
              <w:rPr>
                <w:rFonts w:ascii="Times New Roman"/>
                <w:sz w:val="18"/>
                <w:szCs w:val="18"/>
              </w:rPr>
              <w:t>1级</w:t>
            </w:r>
          </w:p>
        </w:tc>
        <w:tc>
          <w:tcPr>
            <w:tcW w:w="2410" w:type="dxa"/>
            <w:vAlign w:val="center"/>
          </w:tcPr>
          <w:p w14:paraId="6934E993">
            <w:pPr>
              <w:pStyle w:val="57"/>
              <w:ind w:firstLine="0" w:firstLineChars="0"/>
              <w:jc w:val="center"/>
              <w:rPr>
                <w:rFonts w:ascii="Times New Roman"/>
                <w:sz w:val="18"/>
                <w:szCs w:val="18"/>
              </w:rPr>
            </w:pPr>
            <w:r>
              <w:rPr>
                <w:rFonts w:ascii="Times New Roman"/>
                <w:sz w:val="18"/>
                <w:szCs w:val="18"/>
              </w:rPr>
              <w:t>2级</w:t>
            </w:r>
          </w:p>
        </w:tc>
        <w:tc>
          <w:tcPr>
            <w:tcW w:w="2737" w:type="dxa"/>
            <w:vAlign w:val="center"/>
          </w:tcPr>
          <w:p w14:paraId="2DF1A0C4">
            <w:pPr>
              <w:pStyle w:val="57"/>
              <w:ind w:firstLine="0" w:firstLineChars="0"/>
              <w:jc w:val="center"/>
              <w:rPr>
                <w:rFonts w:ascii="Times New Roman"/>
                <w:sz w:val="18"/>
                <w:szCs w:val="18"/>
              </w:rPr>
            </w:pPr>
            <w:r>
              <w:rPr>
                <w:rFonts w:ascii="Times New Roman"/>
                <w:sz w:val="18"/>
                <w:szCs w:val="18"/>
              </w:rPr>
              <w:t>3级</w:t>
            </w:r>
          </w:p>
        </w:tc>
      </w:tr>
      <w:tr w14:paraId="3E63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2470" w:type="dxa"/>
            <w:vMerge w:val="continue"/>
            <w:vAlign w:val="center"/>
          </w:tcPr>
          <w:p w14:paraId="143326DA">
            <w:pPr>
              <w:pStyle w:val="57"/>
              <w:ind w:firstLine="0" w:firstLineChars="0"/>
              <w:jc w:val="center"/>
              <w:rPr>
                <w:sz w:val="18"/>
                <w:szCs w:val="18"/>
              </w:rPr>
            </w:pPr>
          </w:p>
        </w:tc>
        <w:tc>
          <w:tcPr>
            <w:tcW w:w="2061" w:type="dxa"/>
            <w:vAlign w:val="center"/>
          </w:tcPr>
          <w:p w14:paraId="09663298">
            <w:pPr>
              <w:pStyle w:val="57"/>
              <w:ind w:firstLine="0" w:firstLineChars="0"/>
              <w:jc w:val="center"/>
              <w:rPr>
                <w:rFonts w:ascii="Times New Roman"/>
                <w:sz w:val="18"/>
                <w:szCs w:val="18"/>
              </w:rPr>
            </w:pPr>
            <w:r>
              <w:rPr>
                <w:rFonts w:hint="eastAsia" w:ascii="Times New Roman"/>
                <w:color w:val="000000" w:themeColor="text1"/>
                <w:sz w:val="18"/>
                <w:szCs w:val="18"/>
                <w14:textFill>
                  <w14:solidFill>
                    <w14:schemeClr w14:val="tx1"/>
                  </w14:solidFill>
                </w14:textFill>
              </w:rPr>
              <w:t>≤</w:t>
            </w:r>
            <w:r>
              <w:rPr>
                <w:rFonts w:ascii="Times New Roman"/>
                <w:sz w:val="18"/>
                <w:szCs w:val="18"/>
              </w:rPr>
              <w:t>500</w:t>
            </w:r>
          </w:p>
        </w:tc>
        <w:tc>
          <w:tcPr>
            <w:tcW w:w="2410" w:type="dxa"/>
            <w:vAlign w:val="center"/>
          </w:tcPr>
          <w:p w14:paraId="30AFA9F1">
            <w:pPr>
              <w:pStyle w:val="57"/>
              <w:ind w:firstLine="0" w:firstLineChars="0"/>
              <w:jc w:val="center"/>
              <w:rPr>
                <w:rFonts w:ascii="Times New Roman"/>
                <w:sz w:val="18"/>
                <w:szCs w:val="18"/>
              </w:rPr>
            </w:pPr>
            <w:r>
              <w:rPr>
                <w:rFonts w:hint="eastAsia" w:ascii="Times New Roman"/>
                <w:color w:val="000000" w:themeColor="text1"/>
                <w:sz w:val="18"/>
                <w:szCs w:val="18"/>
                <w14:textFill>
                  <w14:solidFill>
                    <w14:schemeClr w14:val="tx1"/>
                  </w14:solidFill>
                </w14:textFill>
              </w:rPr>
              <w:t>≤</w:t>
            </w:r>
            <w:r>
              <w:rPr>
                <w:rFonts w:ascii="Times New Roman"/>
                <w:sz w:val="18"/>
                <w:szCs w:val="18"/>
              </w:rPr>
              <w:t>650</w:t>
            </w:r>
          </w:p>
        </w:tc>
        <w:tc>
          <w:tcPr>
            <w:tcW w:w="2737" w:type="dxa"/>
            <w:vAlign w:val="center"/>
          </w:tcPr>
          <w:p w14:paraId="5E174948">
            <w:pPr>
              <w:pStyle w:val="57"/>
              <w:ind w:firstLine="0" w:firstLineChars="0"/>
              <w:jc w:val="center"/>
              <w:rPr>
                <w:rFonts w:ascii="Times New Roman"/>
                <w:sz w:val="18"/>
                <w:szCs w:val="18"/>
              </w:rPr>
            </w:pPr>
            <w:r>
              <w:rPr>
                <w:rFonts w:hint="eastAsia" w:ascii="Times New Roman"/>
                <w:color w:val="000000" w:themeColor="text1"/>
                <w:sz w:val="18"/>
                <w:szCs w:val="18"/>
                <w14:textFill>
                  <w14:solidFill>
                    <w14:schemeClr w14:val="tx1"/>
                  </w14:solidFill>
                </w14:textFill>
              </w:rPr>
              <w:t>≤</w:t>
            </w:r>
            <w:r>
              <w:rPr>
                <w:rFonts w:ascii="Times New Roman"/>
                <w:sz w:val="18"/>
                <w:szCs w:val="18"/>
              </w:rPr>
              <w:t>800</w:t>
            </w:r>
          </w:p>
        </w:tc>
      </w:tr>
    </w:tbl>
    <w:p w14:paraId="7FDA7144">
      <w:pPr>
        <w:pStyle w:val="57"/>
        <w:ind w:firstLine="420"/>
      </w:pPr>
    </w:p>
    <w:p w14:paraId="7A3845D8">
      <w:pPr>
        <w:pStyle w:val="105"/>
        <w:spacing w:before="240" w:after="240"/>
      </w:pPr>
      <w:bookmarkStart w:id="80" w:name="_Toc92484462"/>
      <w:bookmarkStart w:id="81" w:name="_Toc94277549"/>
      <w:bookmarkStart w:id="82" w:name="_Toc18804"/>
      <w:bookmarkStart w:id="83" w:name="_Toc223181384"/>
      <w:bookmarkStart w:id="84" w:name="_Hlk220421407"/>
      <w:r>
        <w:rPr>
          <w:rFonts w:hint="eastAsia"/>
        </w:rPr>
        <w:t>计量及标准煤折</w:t>
      </w:r>
      <w:bookmarkEnd w:id="80"/>
      <w:r>
        <w:rPr>
          <w:rFonts w:hint="eastAsia"/>
        </w:rPr>
        <w:t>算</w:t>
      </w:r>
      <w:bookmarkEnd w:id="81"/>
      <w:bookmarkEnd w:id="82"/>
      <w:r>
        <w:rPr>
          <w:rFonts w:hint="eastAsia"/>
        </w:rPr>
        <w:t>要求</w:t>
      </w:r>
      <w:bookmarkEnd w:id="83"/>
    </w:p>
    <w:p w14:paraId="5BDC7151">
      <w:pPr>
        <w:pStyle w:val="106"/>
        <w:spacing w:before="120" w:after="120"/>
      </w:pPr>
      <w:bookmarkStart w:id="85" w:name="_Toc76993827"/>
      <w:bookmarkStart w:id="86" w:name="_Toc76993785"/>
      <w:bookmarkStart w:id="87" w:name="_Toc223181385"/>
      <w:bookmarkStart w:id="88" w:name="_Toc28139"/>
      <w:bookmarkStart w:id="89" w:name="_Toc16093"/>
      <w:bookmarkStart w:id="90" w:name="_Toc90394596"/>
      <w:bookmarkStart w:id="91" w:name="_Toc220348231"/>
      <w:r>
        <w:rPr>
          <w:rFonts w:hint="eastAsia"/>
        </w:rPr>
        <w:t>能源计量</w:t>
      </w:r>
      <w:bookmarkEnd w:id="85"/>
      <w:bookmarkEnd w:id="86"/>
      <w:bookmarkEnd w:id="87"/>
      <w:bookmarkEnd w:id="88"/>
      <w:bookmarkEnd w:id="89"/>
      <w:bookmarkEnd w:id="90"/>
      <w:bookmarkEnd w:id="91"/>
    </w:p>
    <w:p w14:paraId="32F42863">
      <w:pPr>
        <w:pStyle w:val="166"/>
      </w:pPr>
      <w:r>
        <w:rPr>
          <w:rFonts w:hint="eastAsia"/>
        </w:rPr>
        <w:t>熔化工序能耗计算需计量的能源，包括：</w:t>
      </w:r>
    </w:p>
    <w:p w14:paraId="5BBE3062">
      <w:pPr>
        <w:pStyle w:val="175"/>
        <w:rPr>
          <w:rFonts w:ascii="Times New Roman"/>
        </w:rPr>
      </w:pPr>
      <w:r>
        <w:rPr>
          <w:rFonts w:ascii="Times New Roman"/>
        </w:rPr>
        <w:t>一次能源，主要包括天然气、原煤等；</w:t>
      </w:r>
    </w:p>
    <w:p w14:paraId="2A531850">
      <w:pPr>
        <w:pStyle w:val="175"/>
        <w:rPr>
          <w:rFonts w:ascii="Times New Roman"/>
        </w:rPr>
      </w:pPr>
      <w:r>
        <w:rPr>
          <w:rFonts w:ascii="Times New Roman"/>
        </w:rPr>
        <w:t>二次能源，主要包括柴油、液化石油气、电力等；</w:t>
      </w:r>
    </w:p>
    <w:p w14:paraId="50D88071">
      <w:pPr>
        <w:pStyle w:val="175"/>
        <w:rPr>
          <w:rFonts w:ascii="Times New Roman"/>
        </w:rPr>
      </w:pPr>
      <w:r>
        <w:rPr>
          <w:rFonts w:ascii="Times New Roman"/>
        </w:rPr>
        <w:t>耗能工质消耗的能源，耗能工质主要包括新水、软化水、氮气、氩气等。</w:t>
      </w:r>
    </w:p>
    <w:p w14:paraId="1CC43E8D">
      <w:pPr>
        <w:pStyle w:val="166"/>
      </w:pPr>
      <w:r>
        <w:rPr>
          <w:rFonts w:hint="eastAsia"/>
        </w:rPr>
        <w:t>各种能源不宜重计、漏计。</w:t>
      </w:r>
    </w:p>
    <w:p w14:paraId="2FA07659">
      <w:pPr>
        <w:pStyle w:val="166"/>
      </w:pPr>
      <w:r>
        <w:rPr>
          <w:rFonts w:hint="eastAsia"/>
        </w:rPr>
        <w:t>能耗统计期为一年（本年度统计日期至上一年度相同日期），新（改、扩）建企业正常生产不足一年超过半年的按照半年平均值计算，不足半年的可参考节能评估和审查结果。</w:t>
      </w:r>
    </w:p>
    <w:p w14:paraId="39E906FB">
      <w:pPr>
        <w:pStyle w:val="166"/>
      </w:pPr>
      <w:r>
        <w:rPr>
          <w:rFonts w:hint="eastAsia"/>
        </w:rPr>
        <w:t>企业应根</w:t>
      </w:r>
      <w:r>
        <w:rPr>
          <w:rFonts w:ascii="Times New Roman"/>
        </w:rPr>
        <w:t>据GB</w:t>
      </w:r>
      <w:r>
        <w:rPr>
          <w:rFonts w:hint="eastAsia" w:ascii="Times New Roman"/>
        </w:rPr>
        <w:t xml:space="preserve"> </w:t>
      </w:r>
      <w:r>
        <w:rPr>
          <w:rFonts w:ascii="Times New Roman"/>
        </w:rPr>
        <w:t>17167的要</w:t>
      </w:r>
      <w:r>
        <w:rPr>
          <w:rFonts w:hint="eastAsia"/>
        </w:rPr>
        <w:t>求配备能源计量器具并建立能源计量管理制度。</w:t>
      </w:r>
    </w:p>
    <w:p w14:paraId="3BBD8C12">
      <w:pPr>
        <w:pStyle w:val="106"/>
        <w:spacing w:before="120" w:after="120"/>
      </w:pPr>
      <w:bookmarkStart w:id="92" w:name="_Toc9860"/>
      <w:bookmarkStart w:id="93" w:name="_Toc6740"/>
      <w:bookmarkStart w:id="94" w:name="_Toc220348232"/>
      <w:bookmarkStart w:id="95" w:name="_Toc223181386"/>
      <w:r>
        <w:rPr>
          <w:rFonts w:hint="eastAsia"/>
        </w:rPr>
        <w:t>铝液质量计量</w:t>
      </w:r>
      <w:bookmarkEnd w:id="92"/>
      <w:bookmarkEnd w:id="93"/>
      <w:bookmarkEnd w:id="94"/>
      <w:bookmarkEnd w:id="95"/>
    </w:p>
    <w:p w14:paraId="71B373EA">
      <w:pPr>
        <w:pStyle w:val="230"/>
        <w:rPr>
          <w:strike/>
          <w:highlight w:val="yellow"/>
        </w:rPr>
      </w:pPr>
      <w:r>
        <w:rPr>
          <w:rFonts w:hint="eastAsia"/>
        </w:rPr>
        <w:t>熔炼铝液总量为熔化工序产出的合格铝液总重量。</w:t>
      </w:r>
    </w:p>
    <w:p w14:paraId="0C72CEFF">
      <w:pPr>
        <w:pStyle w:val="111"/>
        <w:numPr>
          <w:ilvl w:val="0"/>
          <w:numId w:val="0"/>
        </w:numPr>
        <w:ind w:left="317"/>
        <w:rPr>
          <w:rFonts w:hint="eastAsia"/>
        </w:rPr>
      </w:pPr>
      <w:r>
        <w:rPr>
          <w:rFonts w:hint="eastAsia" w:ascii="黑体" w:hAnsi="黑体" w:eastAsia="黑体" w:cs="黑体"/>
        </w:rPr>
        <w:t>注:</w:t>
      </w:r>
      <w:r>
        <w:rPr>
          <w:rFonts w:hint="eastAsia"/>
        </w:rPr>
        <w:t>未建立熔化铝液总量台账的企业，熔化铝液总量按照金属炉料累计加入量</w:t>
      </w:r>
      <w:r>
        <w:rPr>
          <w:rFonts w:ascii="Times New Roman"/>
        </w:rPr>
        <w:t>的97%</w:t>
      </w:r>
      <w:r>
        <w:rPr>
          <w:rFonts w:hint="eastAsia"/>
        </w:rPr>
        <w:t>计算。</w:t>
      </w:r>
    </w:p>
    <w:p w14:paraId="2B7BD133">
      <w:pPr>
        <w:pStyle w:val="106"/>
        <w:spacing w:before="120" w:after="120"/>
      </w:pPr>
      <w:bookmarkStart w:id="96" w:name="_Toc76993786"/>
      <w:bookmarkStart w:id="97" w:name="_Toc76993828"/>
      <w:bookmarkStart w:id="98" w:name="_Toc90394597"/>
      <w:bookmarkStart w:id="99" w:name="_Toc22734"/>
      <w:bookmarkStart w:id="100" w:name="_Toc220348233"/>
      <w:bookmarkStart w:id="101" w:name="_Toc27873"/>
      <w:bookmarkStart w:id="102" w:name="_Toc223181387"/>
      <w:r>
        <w:rPr>
          <w:rFonts w:hint="eastAsia"/>
        </w:rPr>
        <w:t>能源折算为标准煤</w:t>
      </w:r>
      <w:bookmarkEnd w:id="96"/>
      <w:bookmarkEnd w:id="97"/>
      <w:bookmarkEnd w:id="98"/>
      <w:r>
        <w:rPr>
          <w:rFonts w:hint="eastAsia"/>
        </w:rPr>
        <w:t>的要求</w:t>
      </w:r>
      <w:bookmarkEnd w:id="99"/>
      <w:bookmarkEnd w:id="100"/>
      <w:bookmarkEnd w:id="101"/>
      <w:bookmarkEnd w:id="102"/>
    </w:p>
    <w:p w14:paraId="48154CB8">
      <w:pPr>
        <w:pStyle w:val="230"/>
      </w:pPr>
      <w:r>
        <w:rPr>
          <w:rFonts w:hint="eastAsia"/>
        </w:rPr>
        <w:t>计算综合能耗时，各种能源折算为标准煤。能源的低位发热量和耗能工质耗能量，按实测值或供应单位提供的数据折标准煤。无法获得实测值的，其折标准煤系数可参照国家统计局公布的数据或参考附</w:t>
      </w:r>
      <w:r>
        <w:rPr>
          <w:rFonts w:ascii="Times New Roman"/>
        </w:rPr>
        <w:t>录A和附录B。</w:t>
      </w:r>
      <w:r>
        <w:rPr>
          <w:rFonts w:hint="eastAsia"/>
        </w:rPr>
        <w:t>自产的二次能源，其折标准煤系数根据实际投入产出计算确定。</w:t>
      </w:r>
    </w:p>
    <w:bookmarkEnd w:id="84"/>
    <w:p w14:paraId="742D1BB6">
      <w:pPr>
        <w:pStyle w:val="105"/>
        <w:spacing w:before="240" w:after="240"/>
      </w:pPr>
      <w:bookmarkStart w:id="103" w:name="_Toc24307"/>
      <w:bookmarkStart w:id="104" w:name="_Toc223181388"/>
      <w:r>
        <w:rPr>
          <w:rFonts w:hint="eastAsia"/>
        </w:rPr>
        <w:t>计算方法</w:t>
      </w:r>
      <w:bookmarkEnd w:id="103"/>
      <w:bookmarkEnd w:id="104"/>
    </w:p>
    <w:p w14:paraId="018D1267">
      <w:pPr>
        <w:pStyle w:val="106"/>
        <w:spacing w:before="120" w:after="120"/>
      </w:pPr>
      <w:bookmarkStart w:id="105" w:name="_Toc32737"/>
      <w:bookmarkStart w:id="106" w:name="_Toc223181389"/>
      <w:bookmarkStart w:id="107" w:name="_Toc23042"/>
      <w:bookmarkStart w:id="108" w:name="_Toc220348235"/>
      <w:r>
        <w:rPr>
          <w:rFonts w:hint="eastAsia"/>
        </w:rPr>
        <w:t>计算方法</w:t>
      </w:r>
      <w:bookmarkEnd w:id="105"/>
      <w:bookmarkEnd w:id="106"/>
      <w:bookmarkEnd w:id="107"/>
      <w:bookmarkEnd w:id="108"/>
    </w:p>
    <w:p w14:paraId="1C07A182">
      <w:pPr>
        <w:pStyle w:val="166"/>
      </w:pPr>
      <w:bookmarkStart w:id="109" w:name="_Toc90394599"/>
      <w:bookmarkStart w:id="110" w:name="_Toc76993830"/>
      <w:bookmarkStart w:id="111" w:name="_Toc76993788"/>
      <w:r>
        <w:rPr>
          <w:rFonts w:hint="eastAsia"/>
        </w:rPr>
        <w:t>熔化工序单位铝液能耗按</w:t>
      </w:r>
      <w:r>
        <w:rPr>
          <w:rFonts w:ascii="Times New Roman"/>
        </w:rPr>
        <w:t>式（</w:t>
      </w:r>
      <w:r>
        <w:rPr>
          <w:rFonts w:hint="eastAsia" w:ascii="Times New Roman"/>
        </w:rPr>
        <w:t>1</w:t>
      </w:r>
      <w:r>
        <w:rPr>
          <w:rFonts w:ascii="Times New Roman"/>
        </w:rPr>
        <w:t>）计</w:t>
      </w:r>
      <w:r>
        <w:rPr>
          <w:rFonts w:hint="eastAsia"/>
        </w:rPr>
        <w:t>算：</w:t>
      </w:r>
      <w:bookmarkEnd w:id="109"/>
      <w:bookmarkEnd w:id="110"/>
      <w:bookmarkEnd w:id="111"/>
    </w:p>
    <w:p w14:paraId="6BCBB285">
      <w:pPr>
        <w:pStyle w:val="230"/>
        <w:spacing w:before="240" w:beforeLines="100" w:after="240" w:afterLines="100"/>
        <w:jc w:val="right"/>
      </w:pPr>
      <m:oMath>
        <m:sSub>
          <m:sSubPr>
            <m:ctrlPr>
              <w:rPr>
                <w:rFonts w:ascii="Cambria Math" w:hAnsi="Cambria Math"/>
                <w:szCs w:val="21"/>
              </w:rPr>
            </m:ctrlPr>
          </m:sSubPr>
          <m:e>
            <m:r>
              <m:rPr/>
              <w:rPr>
                <w:rFonts w:ascii="Cambria Math" w:hAnsi="Cambria Math"/>
                <w:szCs w:val="21"/>
              </w:rPr>
              <m:t>E</m:t>
            </m:r>
            <m:ctrlPr>
              <w:rPr>
                <w:rFonts w:ascii="Cambria Math" w:hAnsi="Cambria Math"/>
                <w:szCs w:val="21"/>
              </w:rPr>
            </m:ctrlPr>
          </m:e>
          <m:sub>
            <m:r>
              <m:rPr/>
              <w:rPr>
                <w:rFonts w:ascii="Cambria Math" w:hAnsi="Cambria Math"/>
                <w:szCs w:val="21"/>
              </w:rPr>
              <m:t>c</m:t>
            </m:r>
            <m:ctrlPr>
              <w:rPr>
                <w:rFonts w:ascii="Cambria Math" w:hAnsi="Cambria Math"/>
                <w:szCs w:val="21"/>
              </w:rPr>
            </m:ctrlPr>
          </m:sub>
        </m:sSub>
        <m:r>
          <m:rPr>
            <m:sty m:val="p"/>
          </m:rPr>
          <w:rPr>
            <w:rFonts w:ascii="Cambria Math" w:hAnsi="Cambria Math"/>
            <w:szCs w:val="21"/>
          </w:rPr>
          <m:t>=</m:t>
        </m:r>
        <m:f>
          <m:fPr>
            <m:ctrlPr>
              <w:rPr>
                <w:rFonts w:ascii="Cambria Math" w:hAnsi="Cambria Math"/>
                <w:szCs w:val="21"/>
              </w:rPr>
            </m:ctrlPr>
          </m:fPr>
          <m:num>
            <m:sSub>
              <m:sSubPr>
                <m:ctrlPr>
                  <w:rPr>
                    <w:rFonts w:ascii="Cambria Math" w:hAnsi="Cambria Math"/>
                    <w:i/>
                    <w:szCs w:val="21"/>
                  </w:rPr>
                </m:ctrlPr>
              </m:sSubPr>
              <m:e>
                <m:r>
                  <m:rPr/>
                  <w:rPr>
                    <w:rFonts w:ascii="Cambria Math" w:hAnsi="Cambria Math"/>
                    <w:szCs w:val="21"/>
                  </w:rPr>
                  <m:t>E</m:t>
                </m:r>
                <m:ctrlPr>
                  <w:rPr>
                    <w:rFonts w:ascii="Cambria Math" w:hAnsi="Cambria Math"/>
                    <w:i/>
                    <w:szCs w:val="21"/>
                  </w:rPr>
                </m:ctrlPr>
              </m:e>
              <m:sub>
                <m:r>
                  <m:rPr/>
                  <w:rPr>
                    <w:rFonts w:ascii="Cambria Math" w:hAnsi="Cambria Math"/>
                    <w:szCs w:val="21"/>
                  </w:rPr>
                  <m:t>1</m:t>
                </m:r>
                <m:ctrlPr>
                  <w:rPr>
                    <w:rFonts w:ascii="Cambria Math" w:hAnsi="Cambria Math"/>
                    <w:i/>
                    <w:szCs w:val="21"/>
                  </w:rPr>
                </m:ctrlPr>
              </m:sub>
            </m:sSub>
            <m:ctrlPr>
              <w:rPr>
                <w:rFonts w:ascii="Cambria Math" w:hAnsi="Cambria Math"/>
                <w:szCs w:val="21"/>
              </w:rPr>
            </m:ctrlPr>
          </m:num>
          <m:den>
            <m:r>
              <m:rPr/>
              <w:rPr>
                <w:rFonts w:ascii="Cambria Math" w:hAnsi="Cambria Math"/>
                <w:szCs w:val="21"/>
              </w:rPr>
              <m:t>G</m:t>
            </m:r>
            <m:ctrlPr>
              <w:rPr>
                <w:rFonts w:ascii="Cambria Math" w:hAnsi="Cambria Math"/>
                <w:szCs w:val="21"/>
              </w:rPr>
            </m:ctrlPr>
          </m:den>
        </m:f>
      </m:oMath>
      <w:r>
        <w:rPr>
          <w:rFonts w:hint="eastAsia"/>
        </w:rPr>
        <w:t>…………………………………………………（1）</w:t>
      </w:r>
    </w:p>
    <w:p w14:paraId="008C89CD">
      <w:pPr>
        <w:pStyle w:val="57"/>
        <w:ind w:firstLine="420"/>
      </w:pPr>
      <w:r>
        <w:rPr>
          <w:rFonts w:hint="eastAsia"/>
        </w:rPr>
        <w:t>式中：</w:t>
      </w:r>
    </w:p>
    <w:p w14:paraId="2A8F2184">
      <w:pPr>
        <w:pStyle w:val="57"/>
        <w:ind w:firstLine="420"/>
      </w:pPr>
      <m:oMath>
        <m:sSub>
          <m:sSubPr>
            <m:ctrlPr>
              <w:rPr>
                <w:rFonts w:ascii="Cambria Math" w:hAnsi="Cambria Math" w:cs="MingLiU"/>
                <w:i/>
              </w:rPr>
            </m:ctrlPr>
          </m:sSubPr>
          <m:e>
            <m:r>
              <m:rPr/>
              <w:rPr>
                <w:rFonts w:ascii="Cambria Math" w:hAnsi="Cambria Math" w:cs="MingLiU"/>
              </w:rPr>
              <m:t>E</m:t>
            </m:r>
            <m:ctrlPr>
              <w:rPr>
                <w:rFonts w:ascii="Cambria Math" w:hAnsi="Cambria Math" w:cs="MingLiU"/>
                <w:i/>
              </w:rPr>
            </m:ctrlPr>
          </m:e>
          <m:sub>
            <m:r>
              <m:rPr/>
              <w:rPr>
                <w:rFonts w:ascii="Cambria Math" w:hAnsi="Cambria Math" w:cs="MingLiU"/>
              </w:rPr>
              <m:t>c</m:t>
            </m:r>
            <m:ctrlPr>
              <w:rPr>
                <w:rFonts w:ascii="Cambria Math" w:hAnsi="Cambria Math" w:cs="MingLiU"/>
                <w:i/>
              </w:rPr>
            </m:ctrlPr>
          </m:sub>
        </m:sSub>
      </m:oMath>
      <w:r>
        <w:rPr>
          <w:rFonts w:ascii="Times New Roman" w:hAnsiTheme="minorEastAsia" w:eastAsiaTheme="minorEastAsia"/>
          <w:kern w:val="2"/>
          <w:szCs w:val="24"/>
          <w:lang w:val="zh-CN"/>
        </w:rPr>
        <w:t>——</w:t>
      </w:r>
      <w:r>
        <w:rPr>
          <w:rFonts w:hint="eastAsia" w:hAnsi="宋体" w:cs="宋体"/>
        </w:rPr>
        <w:t>熔化工序单位铝液能耗，单位为</w:t>
      </w:r>
      <w:r>
        <w:rPr>
          <w:rFonts w:hint="eastAsia"/>
        </w:rPr>
        <w:t>千克标煤每吨</w:t>
      </w:r>
      <w:r>
        <w:rPr>
          <w:rFonts w:ascii="Times New Roman"/>
        </w:rPr>
        <w:t>（kgce/t）</w:t>
      </w:r>
      <w:r>
        <w:rPr>
          <w:rFonts w:hint="eastAsia"/>
        </w:rPr>
        <w:t>；</w:t>
      </w:r>
    </w:p>
    <w:p w14:paraId="50058697">
      <w:pPr>
        <w:pStyle w:val="57"/>
        <w:ind w:firstLine="420"/>
      </w:pPr>
      <w:bookmarkStart w:id="112" w:name="_Toc5211"/>
      <w:bookmarkStart w:id="113" w:name="_Toc90394600"/>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1</m:t>
            </m:r>
            <m:ctrlPr>
              <w:rPr>
                <w:rFonts w:ascii="Cambria Math" w:hAnsi="Cambria Math"/>
                <w:i/>
              </w:rPr>
            </m:ctrlPr>
          </m:sub>
        </m:sSub>
      </m:oMath>
      <w:r>
        <w:rPr>
          <w:rFonts w:ascii="Times New Roman" w:hAnsiTheme="minorEastAsia" w:eastAsiaTheme="minorEastAsia"/>
          <w:kern w:val="2"/>
          <w:szCs w:val="24"/>
          <w:lang w:val="zh-CN"/>
        </w:rPr>
        <w:t>——</w:t>
      </w:r>
      <w:r>
        <w:rPr>
          <w:rFonts w:hint="eastAsia"/>
        </w:rPr>
        <w:t>熔化工序能源消耗总量，单位为千克标煤</w:t>
      </w:r>
      <w:r>
        <w:rPr>
          <w:rFonts w:ascii="Times New Roman"/>
        </w:rPr>
        <w:t>（kgce）</w:t>
      </w:r>
      <w:r>
        <w:rPr>
          <w:rFonts w:hint="eastAsia"/>
        </w:rPr>
        <w:t>；</w:t>
      </w:r>
    </w:p>
    <w:p w14:paraId="7F0938B0">
      <w:pPr>
        <w:pStyle w:val="57"/>
        <w:ind w:firstLine="420"/>
        <w:rPr>
          <w:rFonts w:hint="eastAsia" w:hAnsi="宋体"/>
        </w:rPr>
      </w:pPr>
      <m:oMath>
        <m:r>
          <m:rPr/>
          <w:rPr>
            <w:rFonts w:ascii="Cambria Math" w:hAnsi="Cambria Math"/>
          </w:rPr>
          <m:t>G</m:t>
        </m:r>
      </m:oMath>
      <w:r>
        <w:rPr>
          <w:rFonts w:ascii="Times New Roman" w:hAnsiTheme="minorEastAsia" w:eastAsiaTheme="minorEastAsia"/>
          <w:color w:val="000000" w:themeColor="text1"/>
          <w:kern w:val="2"/>
          <w:szCs w:val="24"/>
          <w:lang w:val="zh-CN"/>
          <w14:textFill>
            <w14:solidFill>
              <w14:schemeClr w14:val="tx1"/>
            </w14:solidFill>
          </w14:textFill>
        </w:rPr>
        <w:t>——</w:t>
      </w:r>
      <w:r>
        <w:rPr>
          <w:rFonts w:hint="eastAsia" w:hAnsi="宋体"/>
        </w:rPr>
        <w:t>相应统计期内熔化工序产出的合格铝液总重量，单位为吨</w:t>
      </w:r>
      <w:r>
        <w:rPr>
          <w:rFonts w:ascii="Times New Roman"/>
        </w:rPr>
        <w:t>（t）</w:t>
      </w:r>
      <w:r>
        <w:rPr>
          <w:rFonts w:hint="eastAsia" w:hAnsi="宋体"/>
        </w:rPr>
        <w:t>。</w:t>
      </w:r>
      <w:bookmarkEnd w:id="112"/>
      <w:bookmarkEnd w:id="113"/>
    </w:p>
    <w:p w14:paraId="1FD0BAC4">
      <w:pPr>
        <w:pStyle w:val="166"/>
        <w:rPr>
          <w:rFonts w:cs="MingLiU"/>
          <w:sz w:val="18"/>
          <w:szCs w:val="18"/>
        </w:rPr>
      </w:pPr>
      <w:r>
        <w:rPr>
          <w:rFonts w:hint="eastAsia"/>
        </w:rPr>
        <w:t>压铸工序单位产品能耗按照公</w:t>
      </w:r>
      <w:r>
        <w:rPr>
          <w:rFonts w:ascii="Times New Roman"/>
        </w:rPr>
        <w:t>式(</w:t>
      </w:r>
      <w:r>
        <w:rPr>
          <w:rFonts w:hint="eastAsia" w:ascii="Times New Roman"/>
        </w:rPr>
        <w:t>2</w:t>
      </w:r>
      <w:r>
        <w:rPr>
          <w:rFonts w:ascii="Times New Roman"/>
        </w:rPr>
        <w:t>)</w:t>
      </w:r>
      <w:r>
        <w:rPr>
          <w:rFonts w:hint="eastAsia"/>
        </w:rPr>
        <w:t>计算：</w:t>
      </w:r>
    </w:p>
    <w:p w14:paraId="2599AA60">
      <w:pPr>
        <w:pStyle w:val="241"/>
      </w:pPr>
      <m:oMath>
        <m:sSub>
          <m:sSubPr>
            <m:ctrlPr>
              <w:rPr>
                <w:rFonts w:ascii="Cambria Math" w:hAnsi="Cambria Math"/>
                <w:kern w:val="0"/>
              </w:rPr>
            </m:ctrlPr>
          </m:sSubPr>
          <m:e>
            <m:r>
              <m:rPr/>
              <w:rPr>
                <w:rFonts w:ascii="Cambria Math" w:hAnsi="Cambria Math"/>
              </w:rPr>
              <m:t>E</m:t>
            </m:r>
            <m:ctrlPr>
              <w:rPr>
                <w:rFonts w:ascii="Cambria Math" w:hAnsi="Cambria Math"/>
                <w:kern w:val="0"/>
              </w:rPr>
            </m:ctrlPr>
          </m:e>
          <m:sub>
            <m:r>
              <m:rPr/>
              <w:rPr>
                <w:rFonts w:hint="eastAsia" w:ascii="Cambria Math" w:hAnsi="Cambria Math"/>
              </w:rPr>
              <m:t>y</m:t>
            </m:r>
            <m:ctrlPr>
              <w:rPr>
                <w:rFonts w:ascii="Cambria Math" w:hAnsi="Cambria Math"/>
                <w:kern w:val="0"/>
              </w:rPr>
            </m:ctrlPr>
          </m:sub>
        </m:sSub>
        <m:r>
          <m:rPr>
            <m:sty m:val="p"/>
          </m:rPr>
          <w:rPr>
            <w:rFonts w:ascii="Cambria Math" w:hAnsi="Cambria Math"/>
          </w:rPr>
          <m:t>=</m:t>
        </m:r>
        <m:f>
          <m:fPr>
            <m:ctrlPr>
              <w:rPr>
                <w:rFonts w:ascii="Cambria Math" w:hAnsi="Cambria Math"/>
                <w:kern w:val="0"/>
              </w:rPr>
            </m:ctrlPr>
          </m:fPr>
          <m:num>
            <m:sSub>
              <m:sSubPr>
                <m:ctrlPr>
                  <w:rPr>
                    <w:rFonts w:ascii="Cambria Math" w:hAnsi="Cambria Math"/>
                    <w:i/>
                    <w:kern w:val="0"/>
                  </w:rPr>
                </m:ctrlPr>
              </m:sSubPr>
              <m:e>
                <m:r>
                  <m:rPr/>
                  <w:rPr>
                    <w:rFonts w:ascii="Cambria Math" w:hAnsi="Cambria Math"/>
                  </w:rPr>
                  <m:t>E</m:t>
                </m:r>
                <m:ctrlPr>
                  <w:rPr>
                    <w:rFonts w:ascii="Cambria Math" w:hAnsi="Cambria Math"/>
                    <w:i/>
                    <w:kern w:val="0"/>
                  </w:rPr>
                </m:ctrlPr>
              </m:e>
              <m:sub>
                <m:r>
                  <m:rPr/>
                  <w:rPr>
                    <w:rFonts w:ascii="Cambria Math" w:hAnsi="Cambria Math"/>
                    <w:kern w:val="0"/>
                  </w:rPr>
                  <m:t>2</m:t>
                </m:r>
                <m:ctrlPr>
                  <w:rPr>
                    <w:rFonts w:ascii="Cambria Math" w:hAnsi="Cambria Math"/>
                    <w:i/>
                    <w:kern w:val="0"/>
                  </w:rPr>
                </m:ctrlPr>
              </m:sub>
            </m:sSub>
            <m:ctrlPr>
              <w:rPr>
                <w:rFonts w:ascii="Cambria Math" w:hAnsi="Cambria Math"/>
                <w:kern w:val="0"/>
              </w:rPr>
            </m:ctrlPr>
          </m:num>
          <m:den>
            <m:r>
              <m:rPr/>
              <w:rPr>
                <w:rFonts w:ascii="Cambria Math" w:hAnsi="Cambria Math"/>
              </w:rPr>
              <m:t>M</m:t>
            </m:r>
            <m:ctrlPr>
              <w:rPr>
                <w:rFonts w:ascii="Cambria Math" w:hAnsi="Cambria Math"/>
                <w:kern w:val="0"/>
              </w:rPr>
            </m:ctrlPr>
          </m:den>
        </m:f>
      </m:oMath>
      <w:r>
        <w:rPr>
          <w:rFonts w:hint="eastAsia"/>
        </w:rPr>
        <w:t>……………………………………………………（2）</w:t>
      </w:r>
    </w:p>
    <w:p w14:paraId="1329EF0F">
      <w:pPr>
        <w:pStyle w:val="57"/>
        <w:ind w:firstLine="420"/>
      </w:pPr>
      <w:r>
        <w:rPr>
          <w:rFonts w:hint="eastAsia"/>
        </w:rPr>
        <w:t>式中：</w:t>
      </w:r>
    </w:p>
    <w:p w14:paraId="4AC4BF2E">
      <w:pPr>
        <w:pStyle w:val="57"/>
        <w:ind w:firstLine="420"/>
        <w:rPr>
          <w:rFonts w:hint="eastAsia" w:hAnsi="宋体"/>
        </w:rPr>
      </w:pPr>
      <m:oMath>
        <m:sSub>
          <m:sSubPr>
            <m:ctrlPr>
              <w:rPr>
                <w:rFonts w:ascii="Cambria Math" w:hAnsi="Cambria Math" w:cs="MingLiU"/>
                <w:i/>
              </w:rPr>
            </m:ctrlPr>
          </m:sSubPr>
          <m:e>
            <m:r>
              <m:rPr/>
              <w:rPr>
                <w:rFonts w:ascii="Cambria Math" w:hAnsi="Cambria Math" w:cs="MingLiU"/>
              </w:rPr>
              <m:t>E</m:t>
            </m:r>
            <m:ctrlPr>
              <w:rPr>
                <w:rFonts w:ascii="Cambria Math" w:hAnsi="Cambria Math" w:cs="MingLiU"/>
                <w:i/>
              </w:rPr>
            </m:ctrlPr>
          </m:e>
          <m:sub>
            <m:r>
              <m:rPr/>
              <w:rPr>
                <w:rFonts w:ascii="Cambria Math" w:hAnsi="Cambria Math" w:cs="MingLiU"/>
              </w:rPr>
              <m:t>y</m:t>
            </m:r>
            <m:ctrlPr>
              <w:rPr>
                <w:rFonts w:ascii="Cambria Math" w:hAnsi="Cambria Math" w:cs="MingLiU"/>
                <w:i/>
              </w:rPr>
            </m:ctrlPr>
          </m:sub>
        </m:sSub>
      </m:oMath>
      <w:r>
        <w:rPr>
          <w:rFonts w:ascii="Times New Roman" w:hAnsiTheme="minorEastAsia" w:eastAsiaTheme="minorEastAsia"/>
          <w:color w:val="000000" w:themeColor="text1"/>
          <w:kern w:val="2"/>
          <w:szCs w:val="24"/>
          <w:lang w:val="zh-CN"/>
          <w14:textFill>
            <w14:solidFill>
              <w14:schemeClr w14:val="tx1"/>
            </w14:solidFill>
          </w14:textFill>
        </w:rPr>
        <w:t>——</w:t>
      </w:r>
      <w:r>
        <w:rPr>
          <w:rFonts w:hint="eastAsia" w:hAnsi="宋体"/>
        </w:rPr>
        <w:t>压铸工序单位产品能耗，单位为</w:t>
      </w:r>
      <w:r>
        <w:rPr>
          <w:rFonts w:hint="eastAsia"/>
        </w:rPr>
        <w:t>千克标煤每吨</w:t>
      </w:r>
      <w:r>
        <w:rPr>
          <w:rFonts w:ascii="Times New Roman"/>
        </w:rPr>
        <w:t>（kgce/t）</w:t>
      </w:r>
      <w:r>
        <w:rPr>
          <w:rFonts w:hint="eastAsia" w:hAnsi="宋体"/>
        </w:rPr>
        <w:t>；</w:t>
      </w:r>
    </w:p>
    <w:p w14:paraId="78E73268">
      <w:pPr>
        <w:pStyle w:val="57"/>
        <w:ind w:firstLine="420"/>
        <w:rPr>
          <w:sz w:val="18"/>
        </w:rPr>
      </w:pP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2</m:t>
            </m:r>
            <m:ctrlPr>
              <w:rPr>
                <w:rFonts w:ascii="Cambria Math" w:hAnsi="Cambria Math"/>
                <w:i/>
              </w:rPr>
            </m:ctrlPr>
          </m:sub>
        </m:sSub>
      </m:oMath>
      <w:r>
        <w:rPr>
          <w:rFonts w:ascii="Times New Roman" w:hAnsiTheme="minorEastAsia" w:eastAsiaTheme="minorEastAsia"/>
          <w:color w:val="000000" w:themeColor="text1"/>
          <w:kern w:val="2"/>
          <w:szCs w:val="24"/>
          <w:lang w:val="zh-CN"/>
          <w14:textFill>
            <w14:solidFill>
              <w14:schemeClr w14:val="tx1"/>
            </w14:solidFill>
          </w14:textFill>
        </w:rPr>
        <w:t>——</w:t>
      </w:r>
      <w:r>
        <w:rPr>
          <w:rFonts w:hint="eastAsia" w:hAnsi="宋体"/>
        </w:rPr>
        <w:t>压铸工序能源消耗总量，单位为千克标准煤</w:t>
      </w:r>
      <w:r>
        <w:rPr>
          <w:rFonts w:ascii="Times New Roman"/>
        </w:rPr>
        <w:t>（kgce）</w:t>
      </w:r>
      <w:r>
        <w:rPr>
          <w:rFonts w:hint="eastAsia" w:hAnsi="宋体"/>
        </w:rPr>
        <w:t>；</w:t>
      </w:r>
    </w:p>
    <w:p w14:paraId="5885B2CC">
      <w:pPr>
        <w:pStyle w:val="57"/>
        <w:ind w:firstLine="420"/>
        <w:rPr>
          <w:rFonts w:hint="eastAsia" w:hAnsi="宋体"/>
          <w:color w:val="FF0000"/>
        </w:rPr>
      </w:pPr>
      <m:oMath>
        <m:r>
          <m:rPr/>
          <w:rPr>
            <w:rFonts w:ascii="Cambria Math" w:hAnsi="Cambria Math"/>
          </w:rPr>
          <m:t>M</m:t>
        </m:r>
      </m:oMath>
      <w:r>
        <w:rPr>
          <w:rFonts w:ascii="Times New Roman" w:hAnsiTheme="minorEastAsia" w:eastAsiaTheme="minorEastAsia"/>
          <w:color w:val="000000" w:themeColor="text1"/>
          <w:kern w:val="2"/>
          <w:szCs w:val="24"/>
          <w:lang w:val="zh-CN"/>
          <w14:textFill>
            <w14:solidFill>
              <w14:schemeClr w14:val="tx1"/>
            </w14:solidFill>
          </w14:textFill>
        </w:rPr>
        <w:t>——</w:t>
      </w:r>
      <w:r>
        <w:rPr>
          <w:rFonts w:hint="eastAsia" w:hAnsi="宋体"/>
        </w:rPr>
        <w:t>铝合金压铸毛坯件入库重量，单位为吨</w:t>
      </w:r>
      <w:r>
        <w:rPr>
          <w:rFonts w:ascii="Times New Roman"/>
        </w:rPr>
        <w:t>（t）</w:t>
      </w:r>
      <w:r>
        <w:rPr>
          <w:rFonts w:hint="eastAsia" w:hAnsi="宋体"/>
        </w:rPr>
        <w:t>。</w:t>
      </w:r>
    </w:p>
    <w:p w14:paraId="1C290F0F">
      <w:pPr>
        <w:pStyle w:val="166"/>
      </w:pPr>
      <w:r>
        <w:rPr>
          <w:rFonts w:hint="eastAsia"/>
        </w:rPr>
        <w:t>铝合金压铸件单位产品综合能</w:t>
      </w:r>
      <w:r>
        <w:rPr>
          <w:rFonts w:ascii="Times New Roman"/>
        </w:rPr>
        <w:t>耗</w:t>
      </w:r>
      <w:r>
        <w:rPr>
          <w:rFonts w:hint="eastAsia"/>
        </w:rPr>
        <w:t>计算按工</w:t>
      </w:r>
      <w:r>
        <w:rPr>
          <w:rFonts w:ascii="Times New Roman"/>
        </w:rPr>
        <w:t>式（</w:t>
      </w:r>
      <w:r>
        <w:rPr>
          <w:rFonts w:hint="eastAsia" w:ascii="Times New Roman"/>
        </w:rPr>
        <w:t>3</w:t>
      </w:r>
      <w:r>
        <w:rPr>
          <w:rFonts w:ascii="Times New Roman"/>
        </w:rPr>
        <w:t>）计</w:t>
      </w:r>
      <w:r>
        <w:rPr>
          <w:rFonts w:hint="eastAsia"/>
        </w:rPr>
        <w:t>算：</w:t>
      </w:r>
    </w:p>
    <w:p w14:paraId="6E3368D8">
      <w:pPr>
        <w:pStyle w:val="166"/>
        <w:numPr>
          <w:ilvl w:val="0"/>
          <w:numId w:val="0"/>
        </w:numPr>
        <w:spacing w:before="240" w:beforeLines="100" w:after="240" w:afterLines="100"/>
        <w:jc w:val="right"/>
      </w:pPr>
      <m:oMath>
        <m:r>
          <m:rPr>
            <m:sty m:val="p"/>
          </m:rPr>
          <w:rPr>
            <w:rFonts w:ascii="Cambria Math" w:hAnsi="Cambria Math"/>
            <w:szCs w:val="21"/>
          </w:rPr>
          <m:t>E=</m:t>
        </m:r>
        <m:f>
          <m:fPr>
            <m:ctrlPr>
              <w:rPr>
                <w:rFonts w:ascii="Cambria Math" w:hAnsi="Cambria Math"/>
                <w:szCs w:val="21"/>
              </w:rPr>
            </m:ctrlPr>
          </m:fPr>
          <m:num>
            <m:nary>
              <m:naryPr>
                <m:chr m:val="∑"/>
                <m:grow m:val="1"/>
                <m:limLoc m:val="undOvr"/>
                <m:ctrlPr>
                  <w:rPr>
                    <w:rFonts w:ascii="Cambria Math" w:hAnsi="Cambria Math"/>
                    <w:i/>
                    <w:szCs w:val="21"/>
                  </w:rPr>
                </m:ctrlPr>
              </m:naryPr>
              <m:sub>
                <m:r>
                  <m:rPr/>
                  <w:rPr>
                    <w:rFonts w:ascii="Cambria Math" w:hAnsi="Cambria Math"/>
                    <w:szCs w:val="21"/>
                  </w:rPr>
                  <m:t>i=1</m:t>
                </m:r>
                <m:ctrlPr>
                  <w:rPr>
                    <w:rFonts w:ascii="Cambria Math" w:hAnsi="Cambria Math"/>
                    <w:i/>
                    <w:szCs w:val="21"/>
                  </w:rPr>
                </m:ctrlPr>
              </m:sub>
              <m:sup>
                <m:r>
                  <m:rPr/>
                  <w:rPr>
                    <w:rFonts w:ascii="Cambria Math" w:hAnsi="Cambria Math"/>
                    <w:szCs w:val="21"/>
                  </w:rPr>
                  <m:t>n</m:t>
                </m:r>
                <m:ctrlPr>
                  <w:rPr>
                    <w:rFonts w:ascii="Cambria Math" w:hAnsi="Cambria Math"/>
                    <w:i/>
                    <w:szCs w:val="21"/>
                  </w:rPr>
                </m:ctrlPr>
              </m:sup>
              <m:e>
                <m:sSub>
                  <m:sSubPr>
                    <m:ctrlPr>
                      <w:rPr>
                        <w:rFonts w:ascii="Cambria Math" w:hAnsi="Cambria Math"/>
                        <w:i/>
                        <w:szCs w:val="21"/>
                      </w:rPr>
                    </m:ctrlPr>
                  </m:sSubPr>
                  <m:e>
                    <m:r>
                      <m:rPr/>
                      <w:rPr>
                        <w:rFonts w:ascii="Cambria Math" w:hAnsi="Cambria Math"/>
                        <w:szCs w:val="21"/>
                      </w:rPr>
                      <m:t>e</m:t>
                    </m:r>
                    <m:ctrlPr>
                      <w:rPr>
                        <w:rFonts w:ascii="Cambria Math" w:hAnsi="Cambria Math"/>
                        <w:i/>
                        <w:szCs w:val="21"/>
                      </w:rPr>
                    </m:ctrlPr>
                  </m:e>
                  <m:sub>
                    <m:r>
                      <m:rPr/>
                      <w:rPr>
                        <w:rFonts w:ascii="Cambria Math" w:hAnsi="Cambria Math"/>
                        <w:szCs w:val="21"/>
                      </w:rPr>
                      <m:t>i</m:t>
                    </m:r>
                    <m:ctrlPr>
                      <w:rPr>
                        <w:rFonts w:ascii="Cambria Math" w:hAnsi="Cambria Math"/>
                        <w:i/>
                        <w:szCs w:val="21"/>
                      </w:rPr>
                    </m:ctrlPr>
                  </m:sub>
                </m:sSub>
                <m:r>
                  <m:rPr/>
                  <w:rPr>
                    <w:rFonts w:ascii="Cambria Math" w:hAnsi="Cambria Math"/>
                    <w:szCs w:val="21"/>
                  </w:rPr>
                  <m:t>×</m:t>
                </m:r>
                <m:sSub>
                  <m:sSubPr>
                    <m:ctrlPr>
                      <w:rPr>
                        <w:rFonts w:ascii="Cambria Math" w:hAnsi="Cambria Math"/>
                        <w:i/>
                        <w:szCs w:val="21"/>
                      </w:rPr>
                    </m:ctrlPr>
                  </m:sSubPr>
                  <m:e>
                    <m:r>
                      <m:rPr/>
                      <w:rPr>
                        <w:rFonts w:ascii="Cambria Math" w:hAnsi="Cambria Math"/>
                        <w:szCs w:val="21"/>
                      </w:rPr>
                      <m:t>P</m:t>
                    </m:r>
                    <m:ctrlPr>
                      <w:rPr>
                        <w:rFonts w:ascii="Cambria Math" w:hAnsi="Cambria Math"/>
                        <w:i/>
                        <w:szCs w:val="21"/>
                      </w:rPr>
                    </m:ctrlPr>
                  </m:e>
                  <m:sub>
                    <m:r>
                      <m:rPr/>
                      <w:rPr>
                        <w:rFonts w:ascii="Cambria Math" w:hAnsi="Cambria Math"/>
                        <w:szCs w:val="21"/>
                      </w:rPr>
                      <m:t>i</m:t>
                    </m:r>
                    <m:ctrlPr>
                      <w:rPr>
                        <w:rFonts w:ascii="Cambria Math" w:hAnsi="Cambria Math"/>
                        <w:i/>
                        <w:szCs w:val="21"/>
                      </w:rPr>
                    </m:ctrlPr>
                  </m:sub>
                </m:sSub>
                <m:ctrlPr>
                  <w:rPr>
                    <w:rFonts w:ascii="Cambria Math" w:hAnsi="Cambria Math"/>
                    <w:i/>
                    <w:szCs w:val="21"/>
                  </w:rPr>
                </m:ctrlPr>
              </m:e>
            </m:nary>
            <m:ctrlPr>
              <w:rPr>
                <w:rFonts w:ascii="Cambria Math" w:hAnsi="Cambria Math"/>
                <w:szCs w:val="21"/>
              </w:rPr>
            </m:ctrlPr>
          </m:num>
          <m:den>
            <m:r>
              <m:rPr/>
              <w:rPr>
                <w:rFonts w:ascii="Cambria Math" w:hAnsi="Cambria Math"/>
                <w:szCs w:val="21"/>
              </w:rPr>
              <m:t>M</m:t>
            </m:r>
            <m:ctrlPr>
              <w:rPr>
                <w:rFonts w:ascii="Cambria Math" w:hAnsi="Cambria Math"/>
                <w:szCs w:val="21"/>
              </w:rPr>
            </m:ctrlPr>
          </m:den>
        </m:f>
      </m:oMath>
      <w:r>
        <w:rPr>
          <w:rFonts w:hint="eastAsia"/>
        </w:rPr>
        <w:t>…………………………………………………（3）</w:t>
      </w:r>
    </w:p>
    <w:p w14:paraId="454A21BA">
      <w:pPr>
        <w:pStyle w:val="57"/>
        <w:ind w:firstLine="420"/>
      </w:pPr>
      <w:r>
        <w:rPr>
          <w:rFonts w:hint="eastAsia"/>
        </w:rPr>
        <w:t>式中：</w:t>
      </w:r>
    </w:p>
    <w:p w14:paraId="47FCAEC4">
      <w:pPr>
        <w:pStyle w:val="57"/>
        <w:ind w:firstLine="420"/>
      </w:pPr>
      <m:oMath>
        <m:r>
          <m:rPr/>
          <w:rPr>
            <w:rFonts w:hint="eastAsia" w:ascii="Cambria Math" w:hAnsi="Cambria Math"/>
          </w:rPr>
          <m:t>E</m:t>
        </m:r>
      </m:oMath>
      <w:r>
        <w:rPr>
          <w:rFonts w:ascii="Times New Roman" w:hAnsiTheme="minorEastAsia" w:eastAsiaTheme="minorEastAsia"/>
          <w:color w:val="000000" w:themeColor="text1"/>
          <w:kern w:val="2"/>
          <w:szCs w:val="24"/>
          <w:lang w:val="zh-CN"/>
          <w14:textFill>
            <w14:solidFill>
              <w14:schemeClr w14:val="tx1"/>
            </w14:solidFill>
          </w14:textFill>
        </w:rPr>
        <w:t>——</w:t>
      </w:r>
      <w:r>
        <w:rPr>
          <w:rFonts w:hint="eastAsia"/>
        </w:rPr>
        <w:t>压铸件单位产品综合能</w:t>
      </w:r>
      <w:r>
        <w:rPr>
          <w:rFonts w:ascii="Times New Roman"/>
        </w:rPr>
        <w:t>耗</w:t>
      </w:r>
      <w:r>
        <w:rPr>
          <w:rFonts w:hint="eastAsia"/>
        </w:rPr>
        <w:t>，单位为千克标煤（</w:t>
      </w:r>
      <w:r>
        <w:rPr>
          <w:rFonts w:ascii="Times New Roman"/>
        </w:rPr>
        <w:t>kgce/t</w:t>
      </w:r>
      <w:r>
        <w:rPr>
          <w:rFonts w:hint="eastAsia"/>
        </w:rPr>
        <w:t>）；</w:t>
      </w:r>
    </w:p>
    <w:p w14:paraId="43C97902">
      <w:pPr>
        <w:pStyle w:val="57"/>
        <w:ind w:firstLine="420"/>
      </w:pPr>
      <m:oMath>
        <m:r>
          <m:rPr/>
          <w:rPr>
            <w:rFonts w:hint="eastAsia" w:ascii="Cambria Math" w:hAnsi="Cambria Math"/>
          </w:rPr>
          <m:t>n</m:t>
        </m:r>
      </m:oMath>
      <w:r>
        <w:rPr>
          <w:rFonts w:ascii="Times New Roman" w:hAnsiTheme="minorEastAsia" w:eastAsiaTheme="minorEastAsia"/>
          <w:color w:val="000000" w:themeColor="text1"/>
          <w:kern w:val="2"/>
          <w:szCs w:val="24"/>
          <w:lang w:val="zh-CN"/>
          <w14:textFill>
            <w14:solidFill>
              <w14:schemeClr w14:val="tx1"/>
            </w14:solidFill>
          </w14:textFill>
        </w:rPr>
        <w:t>——</w:t>
      </w:r>
      <w:r>
        <w:rPr>
          <w:rFonts w:hint="eastAsia"/>
        </w:rPr>
        <w:t>消耗的能源品种数；</w:t>
      </w:r>
    </w:p>
    <w:p w14:paraId="23341978">
      <w:pPr>
        <w:pStyle w:val="57"/>
        <w:ind w:firstLine="420"/>
      </w:pPr>
      <m:oMath>
        <m:sSub>
          <m:sSubPr>
            <m:ctrlPr>
              <w:rPr>
                <w:rFonts w:ascii="Cambria Math" w:hAnsi="Cambria Math"/>
                <w:i/>
              </w:rPr>
            </m:ctrlPr>
          </m:sSubPr>
          <m:e>
            <m:r>
              <m:rPr/>
              <w:rPr>
                <w:rFonts w:hint="eastAsia" w:ascii="Cambria Math" w:hAnsi="Cambria Math"/>
              </w:rPr>
              <m:t>e</m:t>
            </m:r>
            <m:ctrlPr>
              <w:rPr>
                <w:rFonts w:ascii="Cambria Math" w:hAnsi="Cambria Math"/>
                <w:i/>
              </w:rPr>
            </m:ctrlPr>
          </m:e>
          <m:sub>
            <m:r>
              <m:rPr/>
              <w:rPr>
                <w:rFonts w:ascii="Cambria Math" w:hAnsi="Cambria Math"/>
              </w:rPr>
              <m:t>i</m:t>
            </m:r>
            <m:ctrlPr>
              <w:rPr>
                <w:rFonts w:ascii="Cambria Math" w:hAnsi="Cambria Math"/>
                <w:i/>
              </w:rPr>
            </m:ctrlPr>
          </m:sub>
        </m:sSub>
      </m:oMath>
      <w:r>
        <w:rPr>
          <w:rFonts w:ascii="Times New Roman" w:hAnsiTheme="minorEastAsia" w:eastAsiaTheme="minorEastAsia"/>
          <w:color w:val="000000" w:themeColor="text1"/>
          <w:kern w:val="2"/>
          <w:szCs w:val="24"/>
          <w:lang w:val="zh-CN"/>
          <w14:textFill>
            <w14:solidFill>
              <w14:schemeClr w14:val="tx1"/>
            </w14:solidFill>
          </w14:textFill>
        </w:rPr>
        <w:t>——</w:t>
      </w:r>
      <w:r>
        <w:rPr>
          <w:rFonts w:hint="eastAsia"/>
        </w:rPr>
        <w:t>消耗的第i种能源实物量；</w:t>
      </w:r>
    </w:p>
    <w:p w14:paraId="20C1DEF9">
      <w:pPr>
        <w:pStyle w:val="57"/>
        <w:ind w:firstLine="420"/>
      </w:pPr>
      <m:oMath>
        <m:sSub>
          <m:sSubPr>
            <m:ctrlPr>
              <w:rPr>
                <w:rFonts w:ascii="Cambria Math" w:hAnsi="Cambria Math"/>
                <w:i/>
              </w:rPr>
            </m:ctrlPr>
          </m:sSubPr>
          <m:e>
            <m:r>
              <m:rPr/>
              <w:rPr>
                <w:rFonts w:hint="eastAsia" w:ascii="Cambria Math" w:hAnsi="Cambria Math"/>
              </w:rPr>
              <m:t>p</m:t>
            </m:r>
            <m:ctrlPr>
              <w:rPr>
                <w:rFonts w:ascii="Cambria Math" w:hAnsi="Cambria Math"/>
                <w:i/>
              </w:rPr>
            </m:ctrlPr>
          </m:e>
          <m:sub>
            <m:r>
              <m:rPr/>
              <w:rPr>
                <w:rFonts w:ascii="Cambria Math" w:hAnsi="Cambria Math"/>
              </w:rPr>
              <m:t>i</m:t>
            </m:r>
            <m:ctrlPr>
              <w:rPr>
                <w:rFonts w:ascii="Cambria Math" w:hAnsi="Cambria Math"/>
                <w:i/>
              </w:rPr>
            </m:ctrlPr>
          </m:sub>
        </m:sSub>
      </m:oMath>
      <w:r>
        <w:rPr>
          <w:rFonts w:ascii="Times New Roman" w:hAnsiTheme="minorEastAsia" w:eastAsiaTheme="minorEastAsia"/>
          <w:color w:val="000000" w:themeColor="text1"/>
          <w:kern w:val="2"/>
          <w:szCs w:val="24"/>
          <w:lang w:val="zh-CN"/>
          <w14:textFill>
            <w14:solidFill>
              <w14:schemeClr w14:val="tx1"/>
            </w14:solidFill>
          </w14:textFill>
        </w:rPr>
        <w:t>——</w:t>
      </w:r>
      <w:r>
        <w:rPr>
          <w:rFonts w:hint="eastAsia"/>
        </w:rPr>
        <w:t>第i种能源的折算系数。</w:t>
      </w:r>
    </w:p>
    <w:p w14:paraId="4893A9C8">
      <w:pPr>
        <w:pStyle w:val="57"/>
        <w:ind w:firstLine="420"/>
        <w:rPr>
          <w:rFonts w:hint="eastAsia" w:hAnsi="宋体"/>
        </w:rPr>
      </w:pPr>
      <m:oMath>
        <m:r>
          <m:rPr/>
          <w:rPr>
            <w:rFonts w:ascii="Cambria Math" w:hAnsi="Cambria Math"/>
          </w:rPr>
          <m:t>M</m:t>
        </m:r>
      </m:oMath>
      <w:r>
        <w:rPr>
          <w:rFonts w:ascii="Times New Roman" w:hAnsiTheme="minorEastAsia" w:eastAsiaTheme="minorEastAsia"/>
          <w:color w:val="000000" w:themeColor="text1"/>
          <w:kern w:val="2"/>
          <w:szCs w:val="24"/>
          <w:lang w:val="zh-CN"/>
          <w14:textFill>
            <w14:solidFill>
              <w14:schemeClr w14:val="tx1"/>
            </w14:solidFill>
          </w14:textFill>
        </w:rPr>
        <w:t>——</w:t>
      </w:r>
      <w:r>
        <w:rPr>
          <w:rFonts w:hint="eastAsia" w:hAnsi="宋体"/>
        </w:rPr>
        <w:t>铝合金压铸毛坯件入库重量，单位为吨</w:t>
      </w:r>
      <w:r>
        <w:rPr>
          <w:rFonts w:ascii="Times New Roman"/>
        </w:rPr>
        <w:t>（t）</w:t>
      </w:r>
      <w:r>
        <w:rPr>
          <w:rFonts w:hint="eastAsia" w:hAnsi="宋体"/>
        </w:rPr>
        <w:t>。</w:t>
      </w:r>
    </w:p>
    <w:p w14:paraId="63E547C1">
      <w:pPr>
        <w:pStyle w:val="57"/>
        <w:ind w:firstLine="420"/>
        <w:rPr>
          <w:rFonts w:hint="eastAsia" w:hAnsi="宋体"/>
        </w:rPr>
      </w:pPr>
    </w:p>
    <w:p w14:paraId="6DFE98BE">
      <w:pPr>
        <w:pStyle w:val="57"/>
        <w:ind w:firstLine="420"/>
        <w:rPr>
          <w:rFonts w:hint="eastAsia" w:hAnsi="宋体"/>
        </w:rPr>
      </w:pPr>
    </w:p>
    <w:p w14:paraId="5B36A4DC">
      <w:pPr>
        <w:pStyle w:val="57"/>
        <w:ind w:firstLine="420"/>
        <w:rPr>
          <w:rFonts w:hint="eastAsia" w:hAnsi="宋体"/>
          <w:color w:val="FF0000"/>
        </w:rPr>
      </w:pPr>
    </w:p>
    <w:p w14:paraId="5A5F853B">
      <w:pPr>
        <w:pStyle w:val="105"/>
        <w:spacing w:before="240" w:after="240" w:line="340" w:lineRule="exact"/>
      </w:pPr>
      <w:bookmarkStart w:id="114" w:name="_Toc223181390"/>
      <w:bookmarkStart w:id="115" w:name="OLE_LINK5"/>
      <w:r>
        <w:rPr>
          <w:rFonts w:hint="eastAsia"/>
        </w:rPr>
        <w:t>达标判定</w:t>
      </w:r>
      <w:bookmarkEnd w:id="114"/>
    </w:p>
    <w:bookmarkEnd w:id="115"/>
    <w:p w14:paraId="1D870532">
      <w:pPr>
        <w:pStyle w:val="224"/>
        <w:spacing w:before="120" w:beforeLines="50" w:after="120" w:afterLines="50" w:line="340" w:lineRule="exact"/>
        <w:ind w:left="420" w:hanging="420" w:hangingChars="200"/>
        <w:rPr>
          <w:rFonts w:hint="eastAsia" w:ascii="黑体" w:hAnsi="黑体" w:eastAsia="黑体"/>
        </w:rPr>
      </w:pPr>
      <w:r>
        <w:rPr>
          <w:rFonts w:hint="eastAsia" w:ascii="黑体" w:hAnsi="黑体" w:eastAsia="黑体"/>
        </w:rPr>
        <w:t>达标要求</w:t>
      </w:r>
    </w:p>
    <w:p w14:paraId="5FDF240E">
      <w:pPr>
        <w:pStyle w:val="57"/>
        <w:spacing w:line="340" w:lineRule="exact"/>
        <w:ind w:firstLine="420"/>
        <w:jc w:val="left"/>
      </w:pPr>
      <w:r>
        <w:rPr>
          <w:rFonts w:hint="eastAsia"/>
        </w:rPr>
        <w:t>按照表</w:t>
      </w:r>
      <w:r>
        <w:rPr>
          <w:rFonts w:ascii="Times New Roman"/>
        </w:rPr>
        <w:t>4</w:t>
      </w:r>
      <w:r>
        <w:rPr>
          <w:rFonts w:hint="eastAsia"/>
        </w:rPr>
        <w:t>内容判定企业达标等级。企业能源消耗达标等级按照企业对</w:t>
      </w:r>
      <w:r>
        <w:rPr>
          <w:rFonts w:ascii="Times New Roman"/>
        </w:rPr>
        <w:t>标表1、表2、表3所</w:t>
      </w:r>
      <w:r>
        <w:rPr>
          <w:rFonts w:hint="eastAsia"/>
        </w:rPr>
        <w:t>得最低等级水平判定。</w:t>
      </w:r>
    </w:p>
    <w:p w14:paraId="0E772593">
      <w:pPr>
        <w:pStyle w:val="13"/>
        <w:spacing w:before="120" w:beforeLines="50" w:after="120" w:afterLines="50" w:line="340" w:lineRule="exact"/>
        <w:jc w:val="center"/>
        <w:rPr>
          <w:rFonts w:hint="eastAsia" w:ascii="黑体" w:hAnsi="黑体" w:cs="黑体"/>
          <w:sz w:val="21"/>
          <w:szCs w:val="21"/>
        </w:rPr>
      </w:pPr>
      <w:r>
        <w:rPr>
          <w:rFonts w:hint="eastAsia" w:ascii="黑体" w:hAnsi="黑体" w:cs="黑体"/>
          <w:sz w:val="21"/>
          <w:szCs w:val="21"/>
        </w:rPr>
        <w:t>表 4 达标判定要求</w:t>
      </w:r>
    </w:p>
    <w:tbl>
      <w:tblPr>
        <w:tblStyle w:val="28"/>
        <w:tblW w:w="9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00"/>
        <w:gridCol w:w="6260"/>
      </w:tblGrid>
      <w:tr w14:paraId="322CA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00" w:type="dxa"/>
            <w:vAlign w:val="center"/>
          </w:tcPr>
          <w:p w14:paraId="0BE92EE1">
            <w:pPr>
              <w:autoSpaceDE w:val="0"/>
              <w:autoSpaceDN w:val="0"/>
              <w:spacing w:line="340" w:lineRule="exact"/>
              <w:jc w:val="center"/>
              <w:rPr>
                <w:rFonts w:hint="eastAsia" w:ascii="宋体" w:hAnsi="宋体" w:cs="宋体"/>
                <w:sz w:val="18"/>
                <w:szCs w:val="18"/>
              </w:rPr>
            </w:pPr>
            <w:r>
              <w:rPr>
                <w:rFonts w:hint="eastAsia" w:ascii="宋体" w:hAnsi="宋体" w:cs="宋体"/>
                <w:sz w:val="18"/>
                <w:szCs w:val="18"/>
              </w:rPr>
              <w:t>级别</w:t>
            </w:r>
          </w:p>
        </w:tc>
        <w:tc>
          <w:tcPr>
            <w:tcW w:w="6260" w:type="dxa"/>
            <w:vAlign w:val="center"/>
          </w:tcPr>
          <w:p w14:paraId="0BB8233E">
            <w:pPr>
              <w:autoSpaceDE w:val="0"/>
              <w:autoSpaceDN w:val="0"/>
              <w:spacing w:line="340" w:lineRule="exact"/>
              <w:jc w:val="center"/>
              <w:rPr>
                <w:rFonts w:hint="eastAsia" w:ascii="宋体" w:hAnsi="宋体" w:cs="宋体"/>
                <w:sz w:val="18"/>
                <w:szCs w:val="18"/>
              </w:rPr>
            </w:pPr>
            <w:r>
              <w:rPr>
                <w:rFonts w:hint="eastAsia" w:ascii="宋体" w:hAnsi="宋体" w:cs="宋体"/>
                <w:sz w:val="18"/>
                <w:szCs w:val="18"/>
              </w:rPr>
              <w:t>达标要求</w:t>
            </w:r>
          </w:p>
        </w:tc>
      </w:tr>
      <w:tr w14:paraId="645B4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00" w:type="dxa"/>
            <w:vAlign w:val="center"/>
          </w:tcPr>
          <w:p w14:paraId="7662671A">
            <w:pPr>
              <w:pStyle w:val="57"/>
              <w:ind w:firstLine="0" w:firstLineChars="0"/>
              <w:jc w:val="center"/>
              <w:rPr>
                <w:rFonts w:ascii="Times New Roman"/>
                <w:sz w:val="18"/>
                <w:szCs w:val="18"/>
              </w:rPr>
            </w:pPr>
            <w:r>
              <w:rPr>
                <w:rFonts w:ascii="Times New Roman"/>
                <w:sz w:val="18"/>
                <w:szCs w:val="18"/>
              </w:rPr>
              <w:t>1级</w:t>
            </w:r>
          </w:p>
        </w:tc>
        <w:tc>
          <w:tcPr>
            <w:tcW w:w="6260" w:type="dxa"/>
            <w:vAlign w:val="center"/>
          </w:tcPr>
          <w:p w14:paraId="381A4F26">
            <w:pPr>
              <w:pStyle w:val="57"/>
              <w:ind w:firstLine="0" w:firstLineChars="0"/>
              <w:jc w:val="center"/>
              <w:rPr>
                <w:rFonts w:ascii="Times New Roman"/>
                <w:color w:val="000000" w:themeColor="text1"/>
                <w:sz w:val="18"/>
                <w:szCs w:val="18"/>
                <w14:textFill>
                  <w14:solidFill>
                    <w14:schemeClr w14:val="tx1"/>
                  </w14:solidFill>
                </w14:textFill>
              </w:rPr>
            </w:pPr>
            <w:r>
              <w:rPr>
                <w:rFonts w:ascii="Times New Roman"/>
                <w:color w:val="000000" w:themeColor="text1"/>
                <w:sz w:val="18"/>
                <w:szCs w:val="18"/>
                <w14:textFill>
                  <w14:solidFill>
                    <w14:schemeClr w14:val="tx1"/>
                  </w14:solidFill>
                </w14:textFill>
              </w:rPr>
              <w:t>同时达到表1、表2、表3中1级水平</w:t>
            </w:r>
          </w:p>
        </w:tc>
      </w:tr>
      <w:tr w14:paraId="7ABE6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00" w:type="dxa"/>
            <w:vAlign w:val="center"/>
          </w:tcPr>
          <w:p w14:paraId="1C650745">
            <w:pPr>
              <w:pStyle w:val="57"/>
              <w:ind w:firstLine="0" w:firstLineChars="0"/>
              <w:jc w:val="center"/>
              <w:rPr>
                <w:rFonts w:ascii="Times New Roman"/>
                <w:sz w:val="18"/>
                <w:szCs w:val="18"/>
              </w:rPr>
            </w:pPr>
            <w:r>
              <w:rPr>
                <w:rFonts w:ascii="Times New Roman"/>
                <w:sz w:val="18"/>
                <w:szCs w:val="18"/>
              </w:rPr>
              <w:t>2级</w:t>
            </w:r>
          </w:p>
        </w:tc>
        <w:tc>
          <w:tcPr>
            <w:tcW w:w="6260" w:type="dxa"/>
            <w:vAlign w:val="center"/>
          </w:tcPr>
          <w:p w14:paraId="6AD4A4AD">
            <w:pPr>
              <w:pStyle w:val="57"/>
              <w:ind w:firstLine="0" w:firstLineChars="0"/>
              <w:jc w:val="center"/>
              <w:rPr>
                <w:rFonts w:ascii="Times New Roman"/>
                <w:color w:val="000000" w:themeColor="text1"/>
                <w:sz w:val="18"/>
                <w:szCs w:val="18"/>
                <w14:textFill>
                  <w14:solidFill>
                    <w14:schemeClr w14:val="tx1"/>
                  </w14:solidFill>
                </w14:textFill>
              </w:rPr>
            </w:pPr>
            <w:r>
              <w:rPr>
                <w:rFonts w:ascii="Times New Roman"/>
                <w:color w:val="000000" w:themeColor="text1"/>
                <w:sz w:val="18"/>
                <w:szCs w:val="18"/>
                <w14:textFill>
                  <w14:solidFill>
                    <w14:schemeClr w14:val="tx1"/>
                  </w14:solidFill>
                </w14:textFill>
              </w:rPr>
              <w:t>同时达到表1、表2、表3中2级水平</w:t>
            </w:r>
          </w:p>
        </w:tc>
      </w:tr>
      <w:tr w14:paraId="19DA2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00" w:type="dxa"/>
            <w:vAlign w:val="center"/>
          </w:tcPr>
          <w:p w14:paraId="766A23EC">
            <w:pPr>
              <w:pStyle w:val="57"/>
              <w:ind w:firstLine="0" w:firstLineChars="0"/>
              <w:jc w:val="center"/>
              <w:rPr>
                <w:rFonts w:ascii="Times New Roman"/>
                <w:sz w:val="18"/>
                <w:szCs w:val="18"/>
              </w:rPr>
            </w:pPr>
            <w:r>
              <w:rPr>
                <w:rFonts w:ascii="Times New Roman"/>
                <w:sz w:val="18"/>
                <w:szCs w:val="18"/>
              </w:rPr>
              <w:t>3级</w:t>
            </w:r>
          </w:p>
        </w:tc>
        <w:tc>
          <w:tcPr>
            <w:tcW w:w="6260" w:type="dxa"/>
            <w:vAlign w:val="center"/>
          </w:tcPr>
          <w:p w14:paraId="60F10859">
            <w:pPr>
              <w:pStyle w:val="57"/>
              <w:ind w:firstLine="0" w:firstLineChars="0"/>
              <w:jc w:val="center"/>
              <w:rPr>
                <w:rFonts w:ascii="Times New Roman"/>
                <w:color w:val="000000" w:themeColor="text1"/>
                <w:sz w:val="18"/>
                <w:szCs w:val="18"/>
                <w14:textFill>
                  <w14:solidFill>
                    <w14:schemeClr w14:val="tx1"/>
                  </w14:solidFill>
                </w14:textFill>
              </w:rPr>
            </w:pPr>
            <w:r>
              <w:rPr>
                <w:rFonts w:ascii="Times New Roman"/>
                <w:color w:val="000000" w:themeColor="text1"/>
                <w:sz w:val="18"/>
                <w:szCs w:val="18"/>
                <w14:textFill>
                  <w14:solidFill>
                    <w14:schemeClr w14:val="tx1"/>
                  </w14:solidFill>
                </w14:textFill>
              </w:rPr>
              <w:t>同时达到表1、表2、表3中3级水平</w:t>
            </w:r>
          </w:p>
        </w:tc>
      </w:tr>
      <w:tr w14:paraId="593FE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60" w:type="dxa"/>
            <w:gridSpan w:val="2"/>
          </w:tcPr>
          <w:p w14:paraId="60708F8D">
            <w:pPr>
              <w:pStyle w:val="57"/>
              <w:ind w:firstLine="360"/>
              <w:rPr>
                <w:rFonts w:ascii="Times New Roman"/>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Times New Roman"/>
                <w:color w:val="000000" w:themeColor="text1"/>
                <w:sz w:val="18"/>
                <w:szCs w:val="18"/>
                <w14:textFill>
                  <w14:solidFill>
                    <w14:schemeClr w14:val="tx1"/>
                  </w14:solidFill>
                </w14:textFill>
              </w:rPr>
              <w:t>采用铝液直供且无燃气式集中熔化炉的企业同时达到表2、表3相应等级即为相应等级达标。</w:t>
            </w:r>
          </w:p>
        </w:tc>
      </w:tr>
    </w:tbl>
    <w:p w14:paraId="0451F0DA">
      <w:pPr>
        <w:pStyle w:val="224"/>
        <w:spacing w:before="120" w:beforeLines="50" w:after="120" w:afterLines="50" w:line="340" w:lineRule="exact"/>
        <w:ind w:left="420" w:hanging="420" w:hangingChars="200"/>
        <w:rPr>
          <w:rFonts w:hint="eastAsia" w:ascii="黑体" w:hAnsi="黑体" w:eastAsia="黑体"/>
        </w:rPr>
      </w:pPr>
      <w:r>
        <w:rPr>
          <w:rFonts w:hint="eastAsia" w:ascii="黑体" w:hAnsi="黑体" w:eastAsia="黑体"/>
        </w:rPr>
        <w:t>达标建议</w:t>
      </w:r>
    </w:p>
    <w:p w14:paraId="56918647">
      <w:pPr>
        <w:widowControl/>
        <w:adjustRightInd/>
        <w:spacing w:line="340" w:lineRule="exact"/>
        <w:ind w:firstLine="420" w:firstLineChars="200"/>
        <w:jc w:val="left"/>
        <w:rPr>
          <w:rFonts w:hint="eastAsia" w:ascii="宋体" w:hAnsi="宋体" w:cs="Arial"/>
          <w:color w:val="000000" w:themeColor="text1"/>
          <w:kern w:val="0"/>
          <w:lang w:bidi="ar"/>
          <w14:textFill>
            <w14:solidFill>
              <w14:schemeClr w14:val="tx1"/>
            </w14:solidFill>
          </w14:textFill>
        </w:rPr>
      </w:pPr>
      <w:r>
        <w:rPr>
          <w:rFonts w:hint="eastAsia" w:ascii="宋体" w:hAnsi="宋体"/>
          <w:color w:val="000000" w:themeColor="text1"/>
          <w14:textFill>
            <w14:solidFill>
              <w14:schemeClr w14:val="tx1"/>
            </w14:solidFill>
          </w14:textFill>
        </w:rPr>
        <w:t>现有</w:t>
      </w:r>
      <w:r>
        <w:rPr>
          <w:rFonts w:hint="eastAsia"/>
        </w:rPr>
        <w:t>铝合金压铸</w:t>
      </w:r>
      <w:r>
        <w:rPr>
          <w:rFonts w:hint="eastAsia" w:ascii="宋体" w:hAnsi="宋体"/>
          <w:color w:val="000000" w:themeColor="text1"/>
          <w14:textFill>
            <w14:solidFill>
              <w14:schemeClr w14:val="tx1"/>
            </w14:solidFill>
          </w14:textFill>
        </w:rPr>
        <w:t>企业能耗宜</w:t>
      </w:r>
      <w:r>
        <w:rPr>
          <w:rFonts w:hint="eastAsia" w:hAnsi="宋体"/>
          <w:color w:val="000000" w:themeColor="text1"/>
          <w14:textFill>
            <w14:solidFill>
              <w14:schemeClr w14:val="tx1"/>
            </w14:solidFill>
          </w14:textFill>
        </w:rPr>
        <w:t>达到表</w:t>
      </w:r>
      <w:r>
        <w:rPr>
          <w:rFonts w:hint="eastAsia" w:ascii="Times New Roman" w:hAnsi="Times New Roman"/>
          <w:color w:val="000000" w:themeColor="text1"/>
          <w14:textFill>
            <w14:solidFill>
              <w14:schemeClr w14:val="tx1"/>
            </w14:solidFill>
          </w14:textFill>
        </w:rPr>
        <w:t>4</w:t>
      </w:r>
      <w:r>
        <w:rPr>
          <w:rFonts w:hint="eastAsia" w:hAnsi="宋体"/>
          <w:color w:val="000000" w:themeColor="text1"/>
          <w14:textFill>
            <w14:solidFill>
              <w14:schemeClr w14:val="tx1"/>
            </w14:solidFill>
          </w14:textFill>
        </w:rPr>
        <w:t>中</w:t>
      </w:r>
      <w:r>
        <w:rPr>
          <w:rFonts w:hint="eastAsia" w:ascii="Times New Roman" w:hAnsi="Times New Roman"/>
          <w:color w:val="000000" w:themeColor="text1"/>
          <w14:textFill>
            <w14:solidFill>
              <w14:schemeClr w14:val="tx1"/>
            </w14:solidFill>
          </w14:textFill>
        </w:rPr>
        <w:t>3</w:t>
      </w:r>
      <w:r>
        <w:rPr>
          <w:rFonts w:hint="eastAsia" w:ascii="宋体" w:hAnsi="宋体"/>
          <w:color w:val="000000" w:themeColor="text1"/>
          <w14:textFill>
            <w14:solidFill>
              <w14:schemeClr w14:val="tx1"/>
            </w14:solidFill>
          </w14:textFill>
        </w:rPr>
        <w:t>级水平；新建、改扩建</w:t>
      </w:r>
      <w:r>
        <w:rPr>
          <w:rFonts w:hint="eastAsia"/>
        </w:rPr>
        <w:t>铝合金压铸</w:t>
      </w:r>
      <w:r>
        <w:rPr>
          <w:rFonts w:hint="eastAsia" w:ascii="宋体" w:hAnsi="宋体"/>
          <w:color w:val="000000" w:themeColor="text1"/>
          <w14:textFill>
            <w14:solidFill>
              <w14:schemeClr w14:val="tx1"/>
            </w14:solidFill>
          </w14:textFill>
        </w:rPr>
        <w:t>企业的能耗宜</w:t>
      </w:r>
      <w:r>
        <w:rPr>
          <w:rFonts w:hint="eastAsia" w:hAnsi="宋体"/>
          <w:color w:val="000000" w:themeColor="text1"/>
          <w14:textFill>
            <w14:solidFill>
              <w14:schemeClr w14:val="tx1"/>
            </w14:solidFill>
          </w14:textFill>
        </w:rPr>
        <w:t>达到表</w:t>
      </w:r>
      <w:r>
        <w:rPr>
          <w:rFonts w:hint="eastAsia" w:ascii="Times New Roman" w:hAnsi="Times New Roman"/>
          <w:color w:val="000000" w:themeColor="text1"/>
          <w14:textFill>
            <w14:solidFill>
              <w14:schemeClr w14:val="tx1"/>
            </w14:solidFill>
          </w14:textFill>
        </w:rPr>
        <w:t>4</w:t>
      </w:r>
      <w:r>
        <w:rPr>
          <w:rFonts w:hint="eastAsia" w:hAnsi="宋体"/>
          <w:color w:val="000000" w:themeColor="text1"/>
          <w14:textFill>
            <w14:solidFill>
              <w14:schemeClr w14:val="tx1"/>
            </w14:solidFill>
          </w14:textFill>
        </w:rPr>
        <w:t>中</w:t>
      </w:r>
      <w:r>
        <w:rPr>
          <w:rFonts w:ascii="Times New Roman" w:hAnsi="Times New Roman"/>
          <w:color w:val="000000" w:themeColor="text1"/>
          <w14:textFill>
            <w14:solidFill>
              <w14:schemeClr w14:val="tx1"/>
            </w14:solidFill>
          </w14:textFill>
        </w:rPr>
        <w:t>2</w:t>
      </w:r>
      <w:r>
        <w:rPr>
          <w:rFonts w:hint="eastAsia" w:ascii="宋体" w:hAnsi="宋体"/>
          <w:color w:val="000000" w:themeColor="text1"/>
          <w14:textFill>
            <w14:solidFill>
              <w14:schemeClr w14:val="tx1"/>
            </w14:solidFill>
          </w14:textFill>
        </w:rPr>
        <w:t>级水平</w:t>
      </w:r>
      <w:r>
        <w:rPr>
          <w:rFonts w:hint="eastAsia" w:hAnsi="宋体"/>
          <w:color w:val="000000" w:themeColor="text1"/>
          <w14:textFill>
            <w14:solidFill>
              <w14:schemeClr w14:val="tx1"/>
            </w14:solidFill>
          </w14:textFill>
        </w:rPr>
        <w:t>；国家级绿色工厂及行业龙头</w:t>
      </w:r>
      <w:r>
        <w:rPr>
          <w:rFonts w:hint="eastAsia"/>
        </w:rPr>
        <w:t>铝合金压铸</w:t>
      </w:r>
      <w:r>
        <w:rPr>
          <w:rFonts w:hint="eastAsia" w:ascii="宋体" w:hAnsi="宋体"/>
          <w:color w:val="000000" w:themeColor="text1"/>
          <w14:textFill>
            <w14:solidFill>
              <w14:schemeClr w14:val="tx1"/>
            </w14:solidFill>
          </w14:textFill>
        </w:rPr>
        <w:t>企业的能耗宜</w:t>
      </w:r>
      <w:r>
        <w:rPr>
          <w:rFonts w:hint="eastAsia" w:hAnsi="宋体"/>
          <w:color w:val="000000" w:themeColor="text1"/>
          <w14:textFill>
            <w14:solidFill>
              <w14:schemeClr w14:val="tx1"/>
            </w14:solidFill>
          </w14:textFill>
        </w:rPr>
        <w:t>达到表</w:t>
      </w:r>
      <w:r>
        <w:rPr>
          <w:rFonts w:hint="eastAsia" w:ascii="Times New Roman" w:hAnsi="Times New Roman"/>
          <w:color w:val="000000" w:themeColor="text1"/>
          <w14:textFill>
            <w14:solidFill>
              <w14:schemeClr w14:val="tx1"/>
            </w14:solidFill>
          </w14:textFill>
        </w:rPr>
        <w:t>4</w:t>
      </w:r>
      <w:r>
        <w:rPr>
          <w:rFonts w:hint="eastAsia" w:hAnsi="宋体"/>
          <w:color w:val="000000" w:themeColor="text1"/>
          <w14:textFill>
            <w14:solidFill>
              <w14:schemeClr w14:val="tx1"/>
            </w14:solidFill>
          </w14:textFill>
        </w:rPr>
        <w:t>中</w:t>
      </w:r>
      <w:r>
        <w:rPr>
          <w:rFonts w:hint="eastAsia" w:ascii="Times New Roman" w:hAnsi="Times New Roman"/>
          <w:color w:val="000000" w:themeColor="text1"/>
          <w14:textFill>
            <w14:solidFill>
              <w14:schemeClr w14:val="tx1"/>
            </w14:solidFill>
          </w14:textFill>
        </w:rPr>
        <w:t>1</w:t>
      </w:r>
      <w:r>
        <w:rPr>
          <w:rFonts w:hint="eastAsia" w:ascii="宋体" w:hAnsi="宋体"/>
          <w:color w:val="000000" w:themeColor="text1"/>
          <w14:textFill>
            <w14:solidFill>
              <w14:schemeClr w14:val="tx1"/>
            </w14:solidFill>
          </w14:textFill>
        </w:rPr>
        <w:t>级水平。</w:t>
      </w:r>
    </w:p>
    <w:p w14:paraId="27D93CA4">
      <w:pPr>
        <w:pStyle w:val="57"/>
        <w:ind w:firstLine="420"/>
      </w:pPr>
    </w:p>
    <w:p w14:paraId="53F83A2A">
      <w:pPr>
        <w:pStyle w:val="57"/>
        <w:ind w:firstLine="420"/>
        <w:sectPr>
          <w:pgSz w:w="11906" w:h="16838"/>
          <w:pgMar w:top="1928" w:right="1134" w:bottom="1134" w:left="1134" w:header="1418" w:footer="1134" w:gutter="284"/>
          <w:pgNumType w:start="1"/>
          <w:cols w:space="425" w:num="1"/>
          <w:formProt w:val="0"/>
          <w:docGrid w:linePitch="312" w:charSpace="0"/>
        </w:sectPr>
      </w:pPr>
    </w:p>
    <w:bookmarkEnd w:id="24"/>
    <w:p w14:paraId="74DC4E3F">
      <w:pPr>
        <w:pStyle w:val="199"/>
        <w:rPr>
          <w:rFonts w:hint="eastAsia"/>
          <w:vanish w:val="0"/>
        </w:rPr>
      </w:pPr>
      <w:bookmarkStart w:id="116" w:name="BookMark5"/>
    </w:p>
    <w:p w14:paraId="42B2C3CB">
      <w:pPr>
        <w:pStyle w:val="200"/>
        <w:rPr>
          <w:vanish w:val="0"/>
        </w:rPr>
      </w:pPr>
    </w:p>
    <w:p w14:paraId="5F0E14CA">
      <w:pPr>
        <w:pStyle w:val="77"/>
        <w:spacing w:after="120"/>
      </w:pPr>
      <w:r>
        <w:br w:type="textWrapping"/>
      </w:r>
      <w:bookmarkStart w:id="117" w:name="_Toc223181391"/>
      <w:r>
        <w:rPr>
          <w:rFonts w:hint="eastAsia"/>
        </w:rPr>
        <w:t>（资料性）</w:t>
      </w:r>
      <w:r>
        <w:br w:type="textWrapping"/>
      </w:r>
      <w:r>
        <w:rPr>
          <w:rFonts w:hint="eastAsia"/>
        </w:rPr>
        <w:t>各种能源折算标准煤的参考系数</w:t>
      </w:r>
      <w:bookmarkEnd w:id="117"/>
    </w:p>
    <w:p w14:paraId="3A40859D">
      <w:pPr>
        <w:pStyle w:val="79"/>
        <w:spacing w:before="120" w:after="120"/>
        <w:rPr>
          <w:rFonts w:hint="eastAsia" w:ascii="宋体" w:hAnsi="宋体" w:eastAsia="宋体"/>
        </w:rPr>
      </w:pPr>
      <w:bookmarkStart w:id="118" w:name="_Toc201670880"/>
      <w:bookmarkStart w:id="119" w:name="_Toc220348240"/>
      <w:bookmarkStart w:id="120" w:name="_Toc6765"/>
      <w:bookmarkStart w:id="121" w:name="_Toc223181392"/>
      <w:r>
        <w:rPr>
          <w:rFonts w:hint="eastAsia" w:ascii="宋体" w:hAnsi="宋体" w:eastAsia="宋体"/>
        </w:rPr>
        <w:t>各种能源折标准煤系数（参考值）见表A.1和表A.2。</w:t>
      </w:r>
      <w:bookmarkEnd w:id="118"/>
      <w:bookmarkEnd w:id="119"/>
      <w:bookmarkEnd w:id="120"/>
      <w:bookmarkEnd w:id="121"/>
    </w:p>
    <w:p w14:paraId="5852B804">
      <w:pPr>
        <w:pStyle w:val="78"/>
        <w:spacing w:before="120" w:after="120"/>
      </w:pPr>
      <w:r>
        <w:rPr>
          <w:rFonts w:hint="eastAsia" w:hAnsi="黑体" w:cs="黑体"/>
          <w:szCs w:val="21"/>
        </w:rPr>
        <w:t>各种能源折标准煤系数（参考值）</w:t>
      </w:r>
    </w:p>
    <w:tbl>
      <w:tblPr>
        <w:tblStyle w:val="242"/>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836"/>
        <w:gridCol w:w="3662"/>
        <w:gridCol w:w="3868"/>
      </w:tblGrid>
      <w:tr w14:paraId="4CF082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3" w:hRule="atLeast"/>
        </w:trPr>
        <w:tc>
          <w:tcPr>
            <w:tcW w:w="980" w:type="pct"/>
            <w:tcBorders>
              <w:top w:val="single" w:color="000000" w:sz="6" w:space="0"/>
              <w:left w:val="single" w:color="000000" w:sz="6" w:space="0"/>
              <w:bottom w:val="single" w:color="000000" w:sz="6" w:space="0"/>
            </w:tcBorders>
            <w:vAlign w:val="center"/>
          </w:tcPr>
          <w:p w14:paraId="786A6570">
            <w:pPr>
              <w:spacing w:line="240" w:lineRule="exact"/>
              <w:jc w:val="center"/>
              <w:rPr>
                <w:rFonts w:hint="eastAsia" w:ascii="宋体" w:hAnsi="宋体" w:eastAsiaTheme="minorEastAsia" w:cstheme="minorBidi"/>
                <w:bCs/>
                <w:sz w:val="18"/>
                <w:szCs w:val="18"/>
              </w:rPr>
            </w:pPr>
            <w:r>
              <w:rPr>
                <w:rFonts w:hint="eastAsia" w:ascii="宋体" w:hAnsi="宋体" w:eastAsiaTheme="minorEastAsia" w:cstheme="minorBidi"/>
                <w:bCs/>
                <w:sz w:val="18"/>
                <w:szCs w:val="18"/>
              </w:rPr>
              <w:t>能源名称</w:t>
            </w:r>
          </w:p>
        </w:tc>
        <w:tc>
          <w:tcPr>
            <w:tcW w:w="1955" w:type="pct"/>
            <w:tcBorders>
              <w:top w:val="single" w:color="000000" w:sz="6" w:space="0"/>
              <w:bottom w:val="single" w:color="000000" w:sz="6" w:space="0"/>
            </w:tcBorders>
            <w:vAlign w:val="center"/>
          </w:tcPr>
          <w:p w14:paraId="24C280C9">
            <w:pPr>
              <w:spacing w:line="240" w:lineRule="exact"/>
              <w:jc w:val="center"/>
              <w:rPr>
                <w:rFonts w:hint="eastAsia" w:ascii="宋体" w:hAnsi="宋体" w:eastAsiaTheme="minorEastAsia" w:cstheme="minorBidi"/>
                <w:bCs/>
                <w:sz w:val="18"/>
                <w:szCs w:val="18"/>
              </w:rPr>
            </w:pPr>
            <w:r>
              <w:rPr>
                <w:rFonts w:hint="eastAsia" w:ascii="宋体" w:hAnsi="宋体" w:eastAsiaTheme="minorEastAsia" w:cstheme="minorBidi"/>
                <w:bCs/>
                <w:sz w:val="18"/>
                <w:szCs w:val="18"/>
              </w:rPr>
              <w:t>平均低位发热量</w:t>
            </w:r>
          </w:p>
        </w:tc>
        <w:tc>
          <w:tcPr>
            <w:tcW w:w="2065" w:type="pct"/>
            <w:tcBorders>
              <w:top w:val="single" w:color="000000" w:sz="6" w:space="0"/>
              <w:bottom w:val="single" w:color="000000" w:sz="6" w:space="0"/>
              <w:right w:val="single" w:color="000000" w:sz="6" w:space="0"/>
            </w:tcBorders>
            <w:vAlign w:val="center"/>
          </w:tcPr>
          <w:p w14:paraId="54D365AD">
            <w:pPr>
              <w:spacing w:line="240" w:lineRule="exact"/>
              <w:jc w:val="center"/>
              <w:rPr>
                <w:rFonts w:hint="eastAsia" w:ascii="宋体" w:hAnsi="宋体" w:eastAsiaTheme="minorEastAsia" w:cstheme="minorBidi"/>
                <w:bCs/>
                <w:sz w:val="18"/>
                <w:szCs w:val="18"/>
              </w:rPr>
            </w:pPr>
            <w:r>
              <w:rPr>
                <w:rFonts w:hint="eastAsia" w:ascii="宋体" w:hAnsi="宋体" w:eastAsiaTheme="minorEastAsia" w:cstheme="minorBidi"/>
                <w:bCs/>
                <w:sz w:val="18"/>
                <w:szCs w:val="18"/>
              </w:rPr>
              <w:t>折标准煤系数</w:t>
            </w:r>
          </w:p>
        </w:tc>
      </w:tr>
      <w:tr w14:paraId="4D2980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980" w:type="pct"/>
            <w:tcBorders>
              <w:top w:val="single" w:color="000000" w:sz="6" w:space="0"/>
              <w:left w:val="single" w:color="000000" w:sz="6" w:space="0"/>
            </w:tcBorders>
            <w:vAlign w:val="center"/>
          </w:tcPr>
          <w:p w14:paraId="41D2F999">
            <w:pPr>
              <w:spacing w:line="240" w:lineRule="exact"/>
              <w:jc w:val="center"/>
              <w:rPr>
                <w:rFonts w:hint="eastAsia" w:ascii="宋体" w:hAnsi="宋体" w:eastAsiaTheme="minorEastAsia" w:cstheme="minorBidi"/>
                <w:bCs/>
                <w:sz w:val="18"/>
                <w:szCs w:val="18"/>
              </w:rPr>
            </w:pPr>
            <w:r>
              <w:rPr>
                <w:rFonts w:hint="eastAsia" w:ascii="宋体" w:hAnsi="宋体" w:eastAsiaTheme="minorEastAsia" w:cstheme="minorBidi"/>
                <w:bCs/>
                <w:sz w:val="18"/>
                <w:szCs w:val="18"/>
              </w:rPr>
              <w:t>原煤</w:t>
            </w:r>
          </w:p>
        </w:tc>
        <w:tc>
          <w:tcPr>
            <w:tcW w:w="1955" w:type="pct"/>
            <w:tcBorders>
              <w:top w:val="single" w:color="000000" w:sz="6" w:space="0"/>
            </w:tcBorders>
            <w:vAlign w:val="center"/>
          </w:tcPr>
          <w:p w14:paraId="55BE43FD">
            <w:pPr>
              <w:spacing w:line="240" w:lineRule="exact"/>
              <w:jc w:val="center"/>
              <w:rPr>
                <w:rFonts w:hint="eastAsia" w:ascii="宋体" w:hAnsi="宋体" w:eastAsiaTheme="minorEastAsia" w:cstheme="minorBidi"/>
                <w:bCs/>
                <w:sz w:val="18"/>
                <w:szCs w:val="18"/>
              </w:rPr>
            </w:pPr>
            <w:r>
              <w:rPr>
                <w:rFonts w:ascii="宋体" w:hAnsi="宋体" w:eastAsiaTheme="minorEastAsia" w:cstheme="minorBidi"/>
                <w:bCs/>
                <w:sz w:val="18"/>
                <w:szCs w:val="18"/>
              </w:rPr>
              <w:t>20934kJ/kg (5000kcal/kg)</w:t>
            </w:r>
          </w:p>
        </w:tc>
        <w:tc>
          <w:tcPr>
            <w:tcW w:w="2065" w:type="pct"/>
            <w:tcBorders>
              <w:top w:val="single" w:color="000000" w:sz="6" w:space="0"/>
              <w:right w:val="single" w:color="000000" w:sz="6" w:space="0"/>
            </w:tcBorders>
            <w:vAlign w:val="center"/>
          </w:tcPr>
          <w:p w14:paraId="7F431FD7">
            <w:pPr>
              <w:spacing w:line="240" w:lineRule="exact"/>
              <w:jc w:val="center"/>
              <w:rPr>
                <w:rFonts w:hint="eastAsia" w:ascii="宋体" w:hAnsi="宋体" w:eastAsiaTheme="minorEastAsia" w:cstheme="minorBidi"/>
                <w:bCs/>
                <w:sz w:val="18"/>
                <w:szCs w:val="18"/>
              </w:rPr>
            </w:pPr>
            <w:r>
              <w:rPr>
                <w:rFonts w:ascii="宋体" w:hAnsi="宋体" w:eastAsiaTheme="minorEastAsia" w:cstheme="minorBidi"/>
                <w:bCs/>
                <w:sz w:val="18"/>
                <w:szCs w:val="18"/>
              </w:rPr>
              <w:t>0.7143kgce/kg</w:t>
            </w:r>
          </w:p>
        </w:tc>
      </w:tr>
      <w:tr w14:paraId="26631E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6" w:hRule="atLeast"/>
        </w:trPr>
        <w:tc>
          <w:tcPr>
            <w:tcW w:w="980" w:type="pct"/>
            <w:tcBorders>
              <w:left w:val="single" w:color="000000" w:sz="6" w:space="0"/>
            </w:tcBorders>
            <w:vAlign w:val="center"/>
          </w:tcPr>
          <w:p w14:paraId="4C386E57">
            <w:pPr>
              <w:spacing w:line="240" w:lineRule="exact"/>
              <w:jc w:val="center"/>
              <w:rPr>
                <w:rFonts w:hint="eastAsia" w:ascii="宋体" w:hAnsi="宋体" w:eastAsiaTheme="minorEastAsia" w:cstheme="minorBidi"/>
                <w:bCs/>
                <w:sz w:val="18"/>
                <w:szCs w:val="18"/>
              </w:rPr>
            </w:pPr>
            <w:r>
              <w:rPr>
                <w:rFonts w:hint="eastAsia" w:ascii="宋体" w:hAnsi="宋体" w:eastAsiaTheme="minorEastAsia" w:cstheme="minorBidi"/>
                <w:bCs/>
                <w:sz w:val="18"/>
                <w:szCs w:val="18"/>
              </w:rPr>
              <w:t>柴油</w:t>
            </w:r>
          </w:p>
        </w:tc>
        <w:tc>
          <w:tcPr>
            <w:tcW w:w="1955" w:type="pct"/>
            <w:vAlign w:val="center"/>
          </w:tcPr>
          <w:p w14:paraId="2BEDCEE2">
            <w:pPr>
              <w:spacing w:line="240" w:lineRule="exact"/>
              <w:jc w:val="center"/>
              <w:rPr>
                <w:rFonts w:hint="eastAsia" w:ascii="宋体" w:hAnsi="宋体" w:eastAsiaTheme="minorEastAsia" w:cstheme="minorBidi"/>
                <w:bCs/>
                <w:sz w:val="18"/>
                <w:szCs w:val="18"/>
              </w:rPr>
            </w:pPr>
            <w:r>
              <w:rPr>
                <w:rFonts w:ascii="宋体" w:hAnsi="宋体" w:eastAsiaTheme="minorEastAsia" w:cstheme="minorBidi"/>
                <w:bCs/>
                <w:sz w:val="18"/>
                <w:szCs w:val="18"/>
              </w:rPr>
              <w:t>42705kJ/kg (10200kcal/kg)</w:t>
            </w:r>
          </w:p>
        </w:tc>
        <w:tc>
          <w:tcPr>
            <w:tcW w:w="2065" w:type="pct"/>
            <w:tcBorders>
              <w:right w:val="single" w:color="000000" w:sz="6" w:space="0"/>
            </w:tcBorders>
            <w:vAlign w:val="center"/>
          </w:tcPr>
          <w:p w14:paraId="5D266E52">
            <w:pPr>
              <w:spacing w:line="240" w:lineRule="exact"/>
              <w:jc w:val="center"/>
              <w:rPr>
                <w:rFonts w:hint="eastAsia" w:ascii="宋体" w:hAnsi="宋体" w:eastAsiaTheme="minorEastAsia" w:cstheme="minorBidi"/>
                <w:bCs/>
                <w:sz w:val="18"/>
                <w:szCs w:val="18"/>
              </w:rPr>
            </w:pPr>
            <w:r>
              <w:rPr>
                <w:rFonts w:ascii="宋体" w:hAnsi="宋体" w:eastAsiaTheme="minorEastAsia" w:cstheme="minorBidi"/>
                <w:bCs/>
                <w:sz w:val="18"/>
                <w:szCs w:val="18"/>
              </w:rPr>
              <w:t>1.4571kgce/kg</w:t>
            </w:r>
          </w:p>
        </w:tc>
      </w:tr>
      <w:tr w14:paraId="7DEAF3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980" w:type="pct"/>
            <w:tcBorders>
              <w:left w:val="single" w:color="000000" w:sz="6" w:space="0"/>
            </w:tcBorders>
            <w:vAlign w:val="center"/>
          </w:tcPr>
          <w:p w14:paraId="43A15E3D">
            <w:pPr>
              <w:spacing w:line="240" w:lineRule="exact"/>
              <w:jc w:val="center"/>
              <w:rPr>
                <w:rFonts w:hint="eastAsia" w:ascii="宋体" w:hAnsi="宋体" w:eastAsiaTheme="minorEastAsia" w:cstheme="minorBidi"/>
                <w:bCs/>
                <w:sz w:val="18"/>
                <w:szCs w:val="18"/>
              </w:rPr>
            </w:pPr>
            <w:r>
              <w:rPr>
                <w:rFonts w:hint="eastAsia" w:ascii="宋体" w:hAnsi="宋体" w:eastAsiaTheme="minorEastAsia" w:cstheme="minorBidi"/>
                <w:bCs/>
                <w:sz w:val="18"/>
                <w:szCs w:val="18"/>
              </w:rPr>
              <w:t>天然气</w:t>
            </w:r>
          </w:p>
        </w:tc>
        <w:tc>
          <w:tcPr>
            <w:tcW w:w="1955" w:type="pct"/>
            <w:vAlign w:val="center"/>
          </w:tcPr>
          <w:p w14:paraId="20A913BE">
            <w:pPr>
              <w:spacing w:line="240" w:lineRule="exact"/>
              <w:jc w:val="center"/>
              <w:rPr>
                <w:rFonts w:hint="eastAsia" w:ascii="宋体" w:hAnsi="宋体" w:eastAsiaTheme="minorEastAsia" w:cstheme="minorBidi"/>
                <w:bCs/>
                <w:sz w:val="18"/>
                <w:szCs w:val="18"/>
              </w:rPr>
            </w:pPr>
            <w:r>
              <w:rPr>
                <w:rFonts w:ascii="宋体" w:hAnsi="宋体" w:eastAsiaTheme="minorEastAsia" w:cstheme="minorBidi"/>
                <w:bCs/>
                <w:sz w:val="18"/>
                <w:szCs w:val="18"/>
              </w:rPr>
              <w:t>32238kJ/m3</w:t>
            </w:r>
            <w:r>
              <w:rPr>
                <w:rFonts w:hint="eastAsia" w:ascii="宋体" w:hAnsi="宋体" w:eastAsiaTheme="minorEastAsia" w:cstheme="minorBidi"/>
                <w:bCs/>
                <w:sz w:val="18"/>
                <w:szCs w:val="18"/>
              </w:rPr>
              <w:t>～</w:t>
            </w:r>
            <w:r>
              <w:rPr>
                <w:rFonts w:ascii="宋体" w:hAnsi="宋体" w:eastAsiaTheme="minorEastAsia" w:cstheme="minorBidi"/>
                <w:bCs/>
                <w:sz w:val="18"/>
                <w:szCs w:val="18"/>
              </w:rPr>
              <w:t>38979kJ/m3</w:t>
            </w:r>
          </w:p>
          <w:p w14:paraId="116721BD">
            <w:pPr>
              <w:spacing w:line="240" w:lineRule="exact"/>
              <w:jc w:val="center"/>
              <w:rPr>
                <w:rFonts w:hint="eastAsia" w:ascii="宋体" w:hAnsi="宋体" w:eastAsiaTheme="minorEastAsia" w:cstheme="minorBidi"/>
                <w:bCs/>
                <w:sz w:val="18"/>
                <w:szCs w:val="18"/>
              </w:rPr>
            </w:pPr>
            <w:r>
              <w:rPr>
                <w:rFonts w:ascii="宋体" w:hAnsi="宋体" w:eastAsiaTheme="minorEastAsia" w:cstheme="minorBidi"/>
                <w:bCs/>
                <w:sz w:val="18"/>
                <w:szCs w:val="18"/>
              </w:rPr>
              <w:t xml:space="preserve">(7700kcal/m3 </w:t>
            </w:r>
            <w:r>
              <w:rPr>
                <w:rFonts w:hint="eastAsia" w:ascii="宋体" w:hAnsi="宋体" w:eastAsiaTheme="minorEastAsia" w:cstheme="minorBidi"/>
                <w:bCs/>
                <w:sz w:val="18"/>
                <w:szCs w:val="18"/>
              </w:rPr>
              <w:t>～</w:t>
            </w:r>
            <w:r>
              <w:rPr>
                <w:rFonts w:ascii="宋体" w:hAnsi="宋体" w:eastAsiaTheme="minorEastAsia" w:cstheme="minorBidi"/>
                <w:bCs/>
                <w:sz w:val="18"/>
                <w:szCs w:val="18"/>
              </w:rPr>
              <w:t>9310kcal/m3 )</w:t>
            </w:r>
          </w:p>
        </w:tc>
        <w:tc>
          <w:tcPr>
            <w:tcW w:w="2065" w:type="pct"/>
            <w:tcBorders>
              <w:right w:val="single" w:color="000000" w:sz="6" w:space="0"/>
            </w:tcBorders>
            <w:vAlign w:val="center"/>
          </w:tcPr>
          <w:p w14:paraId="3C860E9A">
            <w:pPr>
              <w:spacing w:line="240" w:lineRule="exact"/>
              <w:jc w:val="center"/>
              <w:rPr>
                <w:rFonts w:hint="eastAsia" w:ascii="宋体" w:hAnsi="宋体" w:eastAsiaTheme="minorEastAsia" w:cstheme="minorBidi"/>
                <w:bCs/>
                <w:sz w:val="18"/>
                <w:szCs w:val="18"/>
              </w:rPr>
            </w:pPr>
            <w:r>
              <w:rPr>
                <w:rFonts w:ascii="宋体" w:hAnsi="宋体" w:eastAsiaTheme="minorEastAsia" w:cstheme="minorBidi"/>
                <w:bCs/>
                <w:sz w:val="18"/>
                <w:szCs w:val="18"/>
              </w:rPr>
              <w:t xml:space="preserve">1.1000kgce/m3 </w:t>
            </w:r>
            <w:r>
              <w:rPr>
                <w:rFonts w:hint="eastAsia" w:ascii="宋体" w:hAnsi="宋体" w:eastAsiaTheme="minorEastAsia" w:cstheme="minorBidi"/>
                <w:bCs/>
                <w:sz w:val="18"/>
                <w:szCs w:val="18"/>
              </w:rPr>
              <w:t>～</w:t>
            </w:r>
            <w:r>
              <w:rPr>
                <w:rFonts w:ascii="宋体" w:hAnsi="宋体" w:eastAsiaTheme="minorEastAsia" w:cstheme="minorBidi"/>
                <w:bCs/>
                <w:sz w:val="18"/>
                <w:szCs w:val="18"/>
              </w:rPr>
              <w:t>1.3300kgce/m3</w:t>
            </w:r>
          </w:p>
        </w:tc>
      </w:tr>
      <w:tr w14:paraId="762F60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6" w:hRule="atLeast"/>
        </w:trPr>
        <w:tc>
          <w:tcPr>
            <w:tcW w:w="980" w:type="pct"/>
            <w:tcBorders>
              <w:left w:val="single" w:color="000000" w:sz="6" w:space="0"/>
            </w:tcBorders>
            <w:vAlign w:val="center"/>
          </w:tcPr>
          <w:p w14:paraId="399023A0">
            <w:pPr>
              <w:spacing w:line="240" w:lineRule="exact"/>
              <w:jc w:val="center"/>
              <w:rPr>
                <w:rFonts w:hint="eastAsia" w:ascii="宋体" w:hAnsi="宋体" w:eastAsiaTheme="minorEastAsia" w:cstheme="minorBidi"/>
                <w:bCs/>
                <w:sz w:val="18"/>
                <w:szCs w:val="18"/>
              </w:rPr>
            </w:pPr>
            <w:r>
              <w:rPr>
                <w:rFonts w:hint="eastAsia" w:ascii="宋体" w:hAnsi="宋体" w:eastAsiaTheme="minorEastAsia" w:cstheme="minorBidi"/>
                <w:bCs/>
                <w:sz w:val="18"/>
                <w:szCs w:val="18"/>
              </w:rPr>
              <w:t>液化石油气</w:t>
            </w:r>
          </w:p>
        </w:tc>
        <w:tc>
          <w:tcPr>
            <w:tcW w:w="1955" w:type="pct"/>
            <w:vAlign w:val="center"/>
          </w:tcPr>
          <w:p w14:paraId="69B39274">
            <w:pPr>
              <w:spacing w:line="240" w:lineRule="exact"/>
              <w:jc w:val="center"/>
              <w:rPr>
                <w:rFonts w:hint="eastAsia" w:ascii="宋体" w:hAnsi="宋体" w:eastAsiaTheme="minorEastAsia" w:cstheme="minorBidi"/>
                <w:bCs/>
                <w:sz w:val="18"/>
                <w:szCs w:val="18"/>
              </w:rPr>
            </w:pPr>
            <w:r>
              <w:rPr>
                <w:rFonts w:ascii="宋体" w:hAnsi="宋体" w:eastAsiaTheme="minorEastAsia" w:cstheme="minorBidi"/>
                <w:bCs/>
                <w:sz w:val="18"/>
                <w:szCs w:val="18"/>
              </w:rPr>
              <w:t>50242kJ/kg(12000kcal/kg)</w:t>
            </w:r>
          </w:p>
        </w:tc>
        <w:tc>
          <w:tcPr>
            <w:tcW w:w="2065" w:type="pct"/>
            <w:tcBorders>
              <w:right w:val="single" w:color="000000" w:sz="6" w:space="0"/>
            </w:tcBorders>
            <w:vAlign w:val="center"/>
          </w:tcPr>
          <w:p w14:paraId="29066A79">
            <w:pPr>
              <w:spacing w:line="240" w:lineRule="exact"/>
              <w:jc w:val="center"/>
              <w:rPr>
                <w:rFonts w:hint="eastAsia" w:ascii="宋体" w:hAnsi="宋体" w:eastAsiaTheme="minorEastAsia" w:cstheme="minorBidi"/>
                <w:bCs/>
                <w:sz w:val="18"/>
                <w:szCs w:val="18"/>
              </w:rPr>
            </w:pPr>
            <w:r>
              <w:rPr>
                <w:rFonts w:ascii="宋体" w:hAnsi="宋体" w:eastAsiaTheme="minorEastAsia" w:cstheme="minorBidi"/>
                <w:bCs/>
                <w:sz w:val="18"/>
                <w:szCs w:val="18"/>
              </w:rPr>
              <w:t>1.7143kgce/kg</w:t>
            </w:r>
          </w:p>
        </w:tc>
      </w:tr>
    </w:tbl>
    <w:p w14:paraId="12A43EB4">
      <w:pPr>
        <w:pStyle w:val="78"/>
        <w:spacing w:before="120" w:after="120"/>
      </w:pPr>
      <w:r>
        <w:rPr>
          <w:rFonts w:hint="eastAsia" w:hAnsi="黑体" w:cs="黑体"/>
          <w:szCs w:val="21"/>
        </w:rPr>
        <w:t>电力和热力折标准煤系数（参考值）</w:t>
      </w:r>
    </w:p>
    <w:tbl>
      <w:tblPr>
        <w:tblStyle w:val="242"/>
        <w:tblW w:w="9339"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659"/>
        <w:gridCol w:w="4680"/>
      </w:tblGrid>
      <w:tr w14:paraId="79B259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4659" w:type="dxa"/>
            <w:tcBorders>
              <w:top w:val="single" w:color="000000" w:sz="6" w:space="0"/>
              <w:left w:val="single" w:color="000000" w:sz="6" w:space="0"/>
              <w:bottom w:val="single" w:color="000000" w:sz="6" w:space="0"/>
            </w:tcBorders>
            <w:vAlign w:val="center"/>
          </w:tcPr>
          <w:p w14:paraId="42064440">
            <w:pPr>
              <w:spacing w:line="240" w:lineRule="exact"/>
              <w:jc w:val="center"/>
              <w:rPr>
                <w:rFonts w:hint="eastAsia" w:ascii="宋体" w:hAnsi="宋体" w:eastAsiaTheme="minorEastAsia" w:cstheme="minorBidi"/>
                <w:bCs/>
                <w:sz w:val="18"/>
                <w:szCs w:val="18"/>
              </w:rPr>
            </w:pPr>
            <w:r>
              <w:rPr>
                <w:rFonts w:hint="eastAsia" w:ascii="宋体" w:hAnsi="宋体" w:eastAsiaTheme="minorEastAsia" w:cstheme="minorBidi"/>
                <w:bCs/>
                <w:sz w:val="18"/>
                <w:szCs w:val="18"/>
              </w:rPr>
              <w:t>能源名称</w:t>
            </w:r>
          </w:p>
        </w:tc>
        <w:tc>
          <w:tcPr>
            <w:tcW w:w="4680" w:type="dxa"/>
            <w:tcBorders>
              <w:top w:val="single" w:color="000000" w:sz="6" w:space="0"/>
              <w:bottom w:val="single" w:color="000000" w:sz="6" w:space="0"/>
              <w:right w:val="single" w:color="000000" w:sz="6" w:space="0"/>
            </w:tcBorders>
            <w:vAlign w:val="center"/>
          </w:tcPr>
          <w:p w14:paraId="05752252">
            <w:pPr>
              <w:spacing w:line="240" w:lineRule="exact"/>
              <w:jc w:val="center"/>
              <w:rPr>
                <w:rFonts w:hint="eastAsia" w:ascii="宋体" w:hAnsi="宋体" w:eastAsiaTheme="minorEastAsia" w:cstheme="minorBidi"/>
                <w:bCs/>
                <w:sz w:val="18"/>
                <w:szCs w:val="18"/>
              </w:rPr>
            </w:pPr>
            <w:r>
              <w:rPr>
                <w:rFonts w:hint="eastAsia" w:ascii="宋体" w:hAnsi="宋体" w:eastAsiaTheme="minorEastAsia" w:cstheme="minorBidi"/>
                <w:bCs/>
                <w:sz w:val="18"/>
                <w:szCs w:val="18"/>
              </w:rPr>
              <w:t>折标准煤系数</w:t>
            </w:r>
          </w:p>
        </w:tc>
      </w:tr>
      <w:tr w14:paraId="1804B6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4659" w:type="dxa"/>
            <w:tcBorders>
              <w:top w:val="single" w:color="000000" w:sz="6" w:space="0"/>
              <w:left w:val="single" w:color="000000" w:sz="6" w:space="0"/>
            </w:tcBorders>
            <w:vAlign w:val="center"/>
          </w:tcPr>
          <w:p w14:paraId="4A2C58FA">
            <w:pPr>
              <w:spacing w:line="240" w:lineRule="exact"/>
              <w:jc w:val="center"/>
              <w:rPr>
                <w:rFonts w:hint="eastAsia" w:ascii="宋体" w:hAnsi="宋体" w:eastAsiaTheme="minorEastAsia" w:cstheme="minorBidi"/>
                <w:bCs/>
                <w:sz w:val="18"/>
                <w:szCs w:val="18"/>
              </w:rPr>
            </w:pPr>
            <w:r>
              <w:rPr>
                <w:rFonts w:hint="eastAsia" w:ascii="宋体" w:hAnsi="宋体" w:eastAsiaTheme="minorEastAsia" w:cstheme="minorBidi"/>
                <w:bCs/>
                <w:sz w:val="18"/>
                <w:szCs w:val="18"/>
              </w:rPr>
              <w:t>电力（当量值）</w:t>
            </w:r>
          </w:p>
        </w:tc>
        <w:tc>
          <w:tcPr>
            <w:tcW w:w="4680" w:type="dxa"/>
            <w:tcBorders>
              <w:top w:val="single" w:color="000000" w:sz="6" w:space="0"/>
              <w:right w:val="single" w:color="000000" w:sz="6" w:space="0"/>
            </w:tcBorders>
            <w:vAlign w:val="center"/>
          </w:tcPr>
          <w:p w14:paraId="225E558D">
            <w:pPr>
              <w:spacing w:line="240" w:lineRule="exact"/>
              <w:jc w:val="center"/>
              <w:rPr>
                <w:rFonts w:hint="eastAsia" w:ascii="宋体" w:hAnsi="宋体" w:eastAsiaTheme="minorEastAsia" w:cstheme="minorBidi"/>
                <w:bCs/>
                <w:sz w:val="18"/>
                <w:szCs w:val="18"/>
              </w:rPr>
            </w:pPr>
            <w:r>
              <w:rPr>
                <w:rFonts w:hint="eastAsia" w:ascii="宋体" w:hAnsi="宋体" w:eastAsiaTheme="minorEastAsia" w:cstheme="minorBidi"/>
                <w:bCs/>
                <w:sz w:val="18"/>
                <w:szCs w:val="18"/>
              </w:rPr>
              <w:t>0.1229kgce/(</w:t>
            </w:r>
            <w:r>
              <w:rPr>
                <w:rFonts w:ascii="宋体" w:hAnsi="宋体" w:eastAsiaTheme="minorEastAsia" w:cstheme="minorBidi"/>
                <w:bCs/>
                <w:sz w:val="18"/>
                <w:szCs w:val="18"/>
              </w:rPr>
              <w:t>kW·h</w:t>
            </w:r>
            <w:r>
              <w:rPr>
                <w:rFonts w:hint="eastAsia" w:ascii="宋体" w:hAnsi="宋体" w:eastAsiaTheme="minorEastAsia" w:cstheme="minorBidi"/>
                <w:bCs/>
                <w:sz w:val="18"/>
                <w:szCs w:val="18"/>
              </w:rPr>
              <w:t>)</w:t>
            </w:r>
          </w:p>
        </w:tc>
      </w:tr>
      <w:tr w14:paraId="543A53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4659" w:type="dxa"/>
            <w:tcBorders>
              <w:left w:val="single" w:color="000000" w:sz="6" w:space="0"/>
            </w:tcBorders>
            <w:vAlign w:val="center"/>
          </w:tcPr>
          <w:p w14:paraId="07E683C3">
            <w:pPr>
              <w:spacing w:line="240" w:lineRule="exact"/>
              <w:jc w:val="center"/>
              <w:rPr>
                <w:rFonts w:hint="eastAsia" w:ascii="宋体" w:hAnsi="宋体" w:eastAsiaTheme="minorEastAsia" w:cstheme="minorBidi"/>
                <w:bCs/>
                <w:sz w:val="18"/>
                <w:szCs w:val="18"/>
              </w:rPr>
            </w:pPr>
            <w:r>
              <w:rPr>
                <w:rFonts w:hint="eastAsia" w:ascii="宋体" w:hAnsi="宋体" w:eastAsiaTheme="minorEastAsia" w:cstheme="minorBidi"/>
                <w:bCs/>
                <w:sz w:val="18"/>
                <w:szCs w:val="18"/>
              </w:rPr>
              <w:t>热力（当量值）</w:t>
            </w:r>
          </w:p>
        </w:tc>
        <w:tc>
          <w:tcPr>
            <w:tcW w:w="4680" w:type="dxa"/>
            <w:tcBorders>
              <w:right w:val="single" w:color="000000" w:sz="6" w:space="0"/>
            </w:tcBorders>
            <w:vAlign w:val="center"/>
          </w:tcPr>
          <w:p w14:paraId="315991C7">
            <w:pPr>
              <w:spacing w:line="240" w:lineRule="exact"/>
              <w:jc w:val="center"/>
              <w:rPr>
                <w:rFonts w:hint="eastAsia" w:ascii="宋体" w:hAnsi="宋体" w:eastAsiaTheme="minorEastAsia" w:cstheme="minorBidi"/>
                <w:bCs/>
                <w:sz w:val="18"/>
                <w:szCs w:val="18"/>
              </w:rPr>
            </w:pPr>
            <w:r>
              <w:rPr>
                <w:rFonts w:hint="eastAsia" w:ascii="宋体" w:hAnsi="宋体" w:eastAsiaTheme="minorEastAsia" w:cstheme="minorBidi"/>
                <w:bCs/>
                <w:sz w:val="18"/>
                <w:szCs w:val="18"/>
              </w:rPr>
              <w:t>0.03412kgce/MJ</w:t>
            </w:r>
          </w:p>
        </w:tc>
      </w:tr>
    </w:tbl>
    <w:p w14:paraId="5C94495E">
      <w:pPr>
        <w:pStyle w:val="57"/>
        <w:ind w:firstLine="420"/>
        <w:sectPr>
          <w:pgSz w:w="11906" w:h="16838"/>
          <w:pgMar w:top="1928" w:right="1134" w:bottom="1134" w:left="1134" w:header="1418" w:footer="1134" w:gutter="284"/>
          <w:cols w:space="425" w:num="1"/>
          <w:formProt w:val="0"/>
          <w:docGrid w:linePitch="312" w:charSpace="0"/>
        </w:sectPr>
      </w:pPr>
    </w:p>
    <w:p w14:paraId="3FCF8B51">
      <w:pPr>
        <w:pStyle w:val="199"/>
        <w:rPr>
          <w:rFonts w:hint="eastAsia"/>
          <w:vanish w:val="0"/>
        </w:rPr>
      </w:pPr>
    </w:p>
    <w:p w14:paraId="1820790C">
      <w:pPr>
        <w:pStyle w:val="200"/>
        <w:rPr>
          <w:vanish w:val="0"/>
        </w:rPr>
      </w:pPr>
    </w:p>
    <w:p w14:paraId="30D073F0">
      <w:pPr>
        <w:pStyle w:val="77"/>
        <w:spacing w:after="120"/>
      </w:pPr>
      <w:r>
        <w:br w:type="textWrapping"/>
      </w:r>
      <w:bookmarkStart w:id="122" w:name="_Toc223181393"/>
      <w:r>
        <w:rPr>
          <w:rFonts w:hint="eastAsia"/>
        </w:rPr>
        <w:t>（资料性）</w:t>
      </w:r>
      <w:r>
        <w:br w:type="textWrapping"/>
      </w:r>
      <w:r>
        <w:rPr>
          <w:rFonts w:hint="eastAsia"/>
        </w:rPr>
        <w:t>耗能工质能源等价值</w:t>
      </w:r>
      <w:bookmarkEnd w:id="122"/>
    </w:p>
    <w:p w14:paraId="47FC88F7">
      <w:pPr>
        <w:pStyle w:val="79"/>
        <w:spacing w:before="120" w:after="120"/>
        <w:rPr>
          <w:rFonts w:hint="eastAsia" w:ascii="宋体" w:hAnsi="宋体" w:eastAsia="宋体"/>
        </w:rPr>
      </w:pPr>
      <w:bookmarkStart w:id="123" w:name="_Toc201670882"/>
      <w:bookmarkStart w:id="124" w:name="_Toc223181394"/>
      <w:bookmarkStart w:id="125" w:name="_Toc2518"/>
      <w:bookmarkStart w:id="126" w:name="_Toc220348242"/>
      <w:r>
        <w:rPr>
          <w:rFonts w:hint="eastAsia" w:ascii="宋体" w:hAnsi="宋体" w:eastAsia="宋体"/>
        </w:rPr>
        <w:t>主要耗能工质折标准煤系数（按能源等价值计）参考值见表B.1。</w:t>
      </w:r>
      <w:bookmarkEnd w:id="123"/>
      <w:bookmarkEnd w:id="124"/>
      <w:bookmarkEnd w:id="125"/>
      <w:bookmarkEnd w:id="126"/>
    </w:p>
    <w:p w14:paraId="3E1F5036">
      <w:pPr>
        <w:pStyle w:val="78"/>
        <w:spacing w:before="120" w:after="120"/>
        <w:rPr>
          <w:rFonts w:hint="eastAsia" w:hAnsi="黑体" w:cs="黑体"/>
        </w:rPr>
      </w:pPr>
      <w:r>
        <w:rPr>
          <w:rFonts w:hint="eastAsia" w:hAnsi="黑体" w:cs="黑体"/>
        </w:rPr>
        <w:t>主要耗能工质折标准煤系数参考值（按能源等价值计）</w:t>
      </w:r>
    </w:p>
    <w:tbl>
      <w:tblPr>
        <w:tblStyle w:val="242"/>
        <w:tblW w:w="922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710"/>
        <w:gridCol w:w="3604"/>
        <w:gridCol w:w="2908"/>
      </w:tblGrid>
      <w:tr w14:paraId="45514F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2" w:hRule="atLeast"/>
        </w:trPr>
        <w:tc>
          <w:tcPr>
            <w:tcW w:w="2710" w:type="dxa"/>
            <w:tcBorders>
              <w:top w:val="single" w:color="000000" w:sz="6" w:space="0"/>
              <w:left w:val="single" w:color="000000" w:sz="6" w:space="0"/>
              <w:bottom w:val="single" w:color="000000" w:sz="6" w:space="0"/>
            </w:tcBorders>
            <w:vAlign w:val="center"/>
          </w:tcPr>
          <w:p w14:paraId="5254F159">
            <w:pPr>
              <w:spacing w:line="240" w:lineRule="exact"/>
              <w:jc w:val="center"/>
              <w:rPr>
                <w:rFonts w:hint="eastAsia" w:ascii="宋体" w:hAnsi="宋体" w:eastAsiaTheme="minorEastAsia" w:cstheme="minorBidi"/>
                <w:bCs/>
                <w:sz w:val="18"/>
                <w:szCs w:val="18"/>
              </w:rPr>
            </w:pPr>
            <w:r>
              <w:rPr>
                <w:rFonts w:hint="eastAsia" w:ascii="宋体" w:hAnsi="宋体" w:eastAsiaTheme="minorEastAsia" w:cstheme="minorBidi"/>
                <w:bCs/>
                <w:sz w:val="18"/>
                <w:szCs w:val="18"/>
              </w:rPr>
              <w:t>耗能工质名称</w:t>
            </w:r>
          </w:p>
        </w:tc>
        <w:tc>
          <w:tcPr>
            <w:tcW w:w="3604" w:type="dxa"/>
            <w:tcBorders>
              <w:top w:val="single" w:color="000000" w:sz="6" w:space="0"/>
              <w:bottom w:val="single" w:color="000000" w:sz="6" w:space="0"/>
            </w:tcBorders>
            <w:vAlign w:val="center"/>
          </w:tcPr>
          <w:p w14:paraId="1FBBB2FC">
            <w:pPr>
              <w:spacing w:line="240" w:lineRule="exact"/>
              <w:jc w:val="center"/>
              <w:rPr>
                <w:rFonts w:hint="eastAsia" w:ascii="宋体" w:hAnsi="宋体" w:eastAsiaTheme="minorEastAsia" w:cstheme="minorBidi"/>
                <w:bCs/>
                <w:sz w:val="18"/>
                <w:szCs w:val="18"/>
              </w:rPr>
            </w:pPr>
            <w:r>
              <w:rPr>
                <w:rFonts w:hint="eastAsia" w:ascii="宋体" w:hAnsi="宋体" w:eastAsiaTheme="minorEastAsia" w:cstheme="minorBidi"/>
                <w:bCs/>
                <w:sz w:val="18"/>
                <w:szCs w:val="18"/>
              </w:rPr>
              <w:t>单位耗能工质耗能量</w:t>
            </w:r>
          </w:p>
        </w:tc>
        <w:tc>
          <w:tcPr>
            <w:tcW w:w="2908" w:type="dxa"/>
            <w:tcBorders>
              <w:top w:val="single" w:color="000000" w:sz="6" w:space="0"/>
              <w:bottom w:val="single" w:color="000000" w:sz="6" w:space="0"/>
              <w:right w:val="single" w:color="000000" w:sz="6" w:space="0"/>
            </w:tcBorders>
            <w:vAlign w:val="center"/>
          </w:tcPr>
          <w:p w14:paraId="7ECE243E">
            <w:pPr>
              <w:spacing w:line="240" w:lineRule="exact"/>
              <w:jc w:val="center"/>
              <w:rPr>
                <w:rFonts w:hint="eastAsia" w:ascii="宋体" w:hAnsi="宋体" w:eastAsiaTheme="minorEastAsia" w:cstheme="minorBidi"/>
                <w:bCs/>
                <w:sz w:val="18"/>
                <w:szCs w:val="18"/>
              </w:rPr>
            </w:pPr>
            <w:r>
              <w:rPr>
                <w:rFonts w:hint="eastAsia" w:ascii="宋体" w:hAnsi="宋体" w:eastAsiaTheme="minorEastAsia" w:cstheme="minorBidi"/>
                <w:bCs/>
                <w:sz w:val="18"/>
                <w:szCs w:val="18"/>
              </w:rPr>
              <w:t>折标准煤系数</w:t>
            </w:r>
          </w:p>
        </w:tc>
      </w:tr>
      <w:tr w14:paraId="46FE7C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2710" w:type="dxa"/>
            <w:tcBorders>
              <w:top w:val="single" w:color="000000" w:sz="6" w:space="0"/>
              <w:left w:val="single" w:color="000000" w:sz="6" w:space="0"/>
            </w:tcBorders>
            <w:vAlign w:val="center"/>
          </w:tcPr>
          <w:p w14:paraId="5B5BB1F5">
            <w:pPr>
              <w:spacing w:line="240" w:lineRule="exact"/>
              <w:jc w:val="center"/>
              <w:rPr>
                <w:rFonts w:hint="eastAsia" w:ascii="宋体" w:hAnsi="宋体" w:eastAsiaTheme="minorEastAsia" w:cstheme="minorBidi"/>
                <w:bCs/>
                <w:sz w:val="18"/>
                <w:szCs w:val="18"/>
              </w:rPr>
            </w:pPr>
            <w:r>
              <w:rPr>
                <w:rFonts w:hint="eastAsia" w:ascii="宋体" w:hAnsi="宋体" w:eastAsiaTheme="minorEastAsia" w:cstheme="minorBidi"/>
                <w:bCs/>
                <w:sz w:val="18"/>
                <w:szCs w:val="18"/>
              </w:rPr>
              <w:t>新水</w:t>
            </w:r>
          </w:p>
        </w:tc>
        <w:tc>
          <w:tcPr>
            <w:tcW w:w="3604" w:type="dxa"/>
            <w:tcBorders>
              <w:top w:val="single" w:color="000000" w:sz="6" w:space="0"/>
            </w:tcBorders>
            <w:vAlign w:val="center"/>
          </w:tcPr>
          <w:p w14:paraId="67C6E94E">
            <w:pPr>
              <w:pStyle w:val="57"/>
              <w:ind w:firstLine="400"/>
              <w:jc w:val="center"/>
              <w:rPr>
                <w:rFonts w:hint="eastAsia" w:hAnsi="宋体" w:eastAsiaTheme="minorEastAsia" w:cstheme="minorBidi"/>
                <w:sz w:val="20"/>
                <w:szCs w:val="18"/>
              </w:rPr>
            </w:pPr>
            <w:r>
              <w:rPr>
                <w:rFonts w:hAnsi="宋体" w:eastAsiaTheme="minorEastAsia" w:cstheme="minorBidi"/>
                <w:sz w:val="20"/>
                <w:szCs w:val="18"/>
              </w:rPr>
              <w:t>7.54MJ / t ( 1800kcal/ t)</w:t>
            </w:r>
          </w:p>
        </w:tc>
        <w:tc>
          <w:tcPr>
            <w:tcW w:w="2908" w:type="dxa"/>
            <w:tcBorders>
              <w:top w:val="single" w:color="000000" w:sz="6" w:space="0"/>
              <w:right w:val="single" w:color="000000" w:sz="6" w:space="0"/>
            </w:tcBorders>
            <w:vAlign w:val="center"/>
          </w:tcPr>
          <w:p w14:paraId="54F1455A">
            <w:pPr>
              <w:pStyle w:val="57"/>
              <w:ind w:firstLine="400"/>
              <w:jc w:val="center"/>
              <w:rPr>
                <w:rFonts w:hint="eastAsia" w:ascii="Times New Roman" w:hAnsiTheme="minorHAnsi" w:eastAsiaTheme="minorEastAsia" w:cstheme="minorBidi"/>
                <w:sz w:val="20"/>
                <w:szCs w:val="18"/>
              </w:rPr>
            </w:pPr>
            <w:r>
              <w:rPr>
                <w:rFonts w:ascii="Times New Roman" w:hAnsiTheme="minorHAnsi" w:eastAsiaTheme="minorEastAsia" w:cstheme="minorBidi"/>
                <w:sz w:val="20"/>
                <w:szCs w:val="18"/>
              </w:rPr>
              <w:t>0.2571kgce/t</w:t>
            </w:r>
          </w:p>
        </w:tc>
      </w:tr>
      <w:tr w14:paraId="531D09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trPr>
        <w:tc>
          <w:tcPr>
            <w:tcW w:w="2710" w:type="dxa"/>
            <w:tcBorders>
              <w:left w:val="single" w:color="000000" w:sz="6" w:space="0"/>
            </w:tcBorders>
            <w:vAlign w:val="center"/>
          </w:tcPr>
          <w:p w14:paraId="2C043FD8">
            <w:pPr>
              <w:spacing w:line="240" w:lineRule="exact"/>
              <w:jc w:val="center"/>
              <w:rPr>
                <w:rFonts w:hint="eastAsia" w:ascii="宋体" w:hAnsi="宋体" w:eastAsiaTheme="minorEastAsia" w:cstheme="minorBidi"/>
                <w:bCs/>
                <w:sz w:val="18"/>
                <w:szCs w:val="18"/>
              </w:rPr>
            </w:pPr>
            <w:r>
              <w:rPr>
                <w:rFonts w:hint="eastAsia" w:ascii="宋体" w:hAnsi="宋体" w:eastAsiaTheme="minorEastAsia" w:cstheme="minorBidi"/>
                <w:bCs/>
                <w:sz w:val="18"/>
                <w:szCs w:val="18"/>
              </w:rPr>
              <w:t>软化水</w:t>
            </w:r>
          </w:p>
        </w:tc>
        <w:tc>
          <w:tcPr>
            <w:tcW w:w="3604" w:type="dxa"/>
            <w:vAlign w:val="center"/>
          </w:tcPr>
          <w:p w14:paraId="3A120B80">
            <w:pPr>
              <w:pStyle w:val="57"/>
              <w:ind w:firstLine="400"/>
              <w:jc w:val="center"/>
              <w:rPr>
                <w:rFonts w:hint="eastAsia" w:hAnsi="宋体" w:eastAsiaTheme="minorEastAsia" w:cstheme="minorBidi"/>
                <w:sz w:val="20"/>
                <w:szCs w:val="18"/>
              </w:rPr>
            </w:pPr>
            <w:r>
              <w:rPr>
                <w:rFonts w:hAnsi="宋体" w:eastAsiaTheme="minorEastAsia" w:cstheme="minorBidi"/>
                <w:sz w:val="20"/>
                <w:szCs w:val="18"/>
              </w:rPr>
              <w:t>14.24MJ / t ( 3400kcal/ t)</w:t>
            </w:r>
          </w:p>
        </w:tc>
        <w:tc>
          <w:tcPr>
            <w:tcW w:w="2908" w:type="dxa"/>
            <w:tcBorders>
              <w:right w:val="single" w:color="000000" w:sz="6" w:space="0"/>
            </w:tcBorders>
            <w:vAlign w:val="center"/>
          </w:tcPr>
          <w:p w14:paraId="614FF2A8">
            <w:pPr>
              <w:pStyle w:val="57"/>
              <w:ind w:firstLine="400"/>
              <w:jc w:val="center"/>
              <w:rPr>
                <w:rFonts w:hint="eastAsia" w:ascii="Times New Roman" w:hAnsiTheme="minorHAnsi" w:eastAsiaTheme="minorEastAsia" w:cstheme="minorBidi"/>
                <w:sz w:val="20"/>
                <w:szCs w:val="18"/>
              </w:rPr>
            </w:pPr>
            <w:r>
              <w:rPr>
                <w:rFonts w:ascii="Times New Roman" w:hAnsiTheme="minorHAnsi" w:eastAsiaTheme="minorEastAsia" w:cstheme="minorBidi"/>
                <w:sz w:val="20"/>
                <w:szCs w:val="18"/>
              </w:rPr>
              <w:t>0.4857kgce/t</w:t>
            </w:r>
          </w:p>
        </w:tc>
      </w:tr>
      <w:tr w14:paraId="3FB882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trPr>
        <w:tc>
          <w:tcPr>
            <w:tcW w:w="2710" w:type="dxa"/>
            <w:tcBorders>
              <w:left w:val="single" w:color="000000" w:sz="6" w:space="0"/>
            </w:tcBorders>
            <w:vAlign w:val="center"/>
          </w:tcPr>
          <w:p w14:paraId="1C14615D">
            <w:pPr>
              <w:spacing w:line="240" w:lineRule="exact"/>
              <w:jc w:val="center"/>
              <w:rPr>
                <w:rFonts w:hint="eastAsia" w:ascii="宋体" w:hAnsi="宋体" w:eastAsiaTheme="minorEastAsia" w:cstheme="minorBidi"/>
                <w:bCs/>
                <w:sz w:val="18"/>
                <w:szCs w:val="18"/>
              </w:rPr>
            </w:pPr>
            <w:r>
              <w:rPr>
                <w:rFonts w:hint="eastAsia" w:ascii="宋体" w:hAnsi="宋体" w:eastAsiaTheme="minorEastAsia" w:cstheme="minorBidi"/>
                <w:bCs/>
                <w:sz w:val="18"/>
                <w:szCs w:val="18"/>
              </w:rPr>
              <w:t>氮气（做副产品时）</w:t>
            </w:r>
          </w:p>
        </w:tc>
        <w:tc>
          <w:tcPr>
            <w:tcW w:w="3604" w:type="dxa"/>
            <w:vAlign w:val="center"/>
          </w:tcPr>
          <w:p w14:paraId="54E7E056">
            <w:pPr>
              <w:pStyle w:val="57"/>
              <w:ind w:firstLine="400"/>
              <w:jc w:val="center"/>
              <w:rPr>
                <w:rFonts w:hint="eastAsia" w:hAnsi="宋体" w:eastAsiaTheme="minorEastAsia" w:cstheme="minorBidi"/>
                <w:sz w:val="20"/>
                <w:szCs w:val="18"/>
              </w:rPr>
            </w:pPr>
            <w:r>
              <w:rPr>
                <w:rFonts w:hAnsi="宋体" w:eastAsiaTheme="minorEastAsia" w:cstheme="minorBidi"/>
                <w:sz w:val="20"/>
                <w:szCs w:val="18"/>
              </w:rPr>
              <w:t>11.72MJ / m</w:t>
            </w:r>
            <w:r>
              <w:rPr>
                <w:rFonts w:hAnsi="宋体" w:eastAsiaTheme="minorEastAsia" w:cstheme="minorBidi"/>
                <w:sz w:val="20"/>
                <w:szCs w:val="18"/>
                <w:vertAlign w:val="superscript"/>
              </w:rPr>
              <w:t>3</w:t>
            </w:r>
            <w:r>
              <w:rPr>
                <w:rFonts w:hAnsi="宋体" w:eastAsiaTheme="minorEastAsia" w:cstheme="minorBidi"/>
                <w:sz w:val="20"/>
                <w:szCs w:val="18"/>
              </w:rPr>
              <w:t xml:space="preserve"> ( 2800kcal/ m</w:t>
            </w:r>
            <w:r>
              <w:rPr>
                <w:rFonts w:hAnsi="宋体" w:eastAsiaTheme="minorEastAsia" w:cstheme="minorBidi"/>
                <w:sz w:val="20"/>
                <w:szCs w:val="18"/>
                <w:vertAlign w:val="superscript"/>
              </w:rPr>
              <w:t>3</w:t>
            </w:r>
            <w:r>
              <w:rPr>
                <w:rFonts w:hAnsi="宋体" w:eastAsiaTheme="minorEastAsia" w:cstheme="minorBidi"/>
                <w:sz w:val="20"/>
                <w:szCs w:val="18"/>
              </w:rPr>
              <w:t xml:space="preserve"> )</w:t>
            </w:r>
          </w:p>
        </w:tc>
        <w:tc>
          <w:tcPr>
            <w:tcW w:w="2908" w:type="dxa"/>
            <w:tcBorders>
              <w:right w:val="single" w:color="000000" w:sz="6" w:space="0"/>
            </w:tcBorders>
            <w:vAlign w:val="center"/>
          </w:tcPr>
          <w:p w14:paraId="5E961BE1">
            <w:pPr>
              <w:pStyle w:val="57"/>
              <w:ind w:firstLine="400"/>
              <w:jc w:val="center"/>
              <w:rPr>
                <w:rFonts w:hint="eastAsia" w:ascii="Times New Roman" w:hAnsiTheme="minorHAnsi" w:eastAsiaTheme="minorEastAsia" w:cstheme="minorBidi"/>
                <w:sz w:val="20"/>
                <w:szCs w:val="18"/>
              </w:rPr>
            </w:pPr>
            <w:r>
              <w:rPr>
                <w:rFonts w:ascii="Times New Roman" w:hAnsiTheme="minorHAnsi" w:eastAsiaTheme="minorEastAsia" w:cstheme="minorBidi"/>
                <w:sz w:val="20"/>
                <w:szCs w:val="18"/>
              </w:rPr>
              <w:t>0.4000kgce/m</w:t>
            </w:r>
            <w:r>
              <w:rPr>
                <w:rFonts w:ascii="Times New Roman" w:hAnsiTheme="minorHAnsi" w:eastAsiaTheme="minorEastAsia" w:cstheme="minorBidi"/>
                <w:sz w:val="20"/>
                <w:szCs w:val="18"/>
                <w:vertAlign w:val="superscript"/>
              </w:rPr>
              <w:t>3</w:t>
            </w:r>
          </w:p>
        </w:tc>
      </w:tr>
      <w:tr w14:paraId="3E921E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trPr>
        <w:tc>
          <w:tcPr>
            <w:tcW w:w="2710" w:type="dxa"/>
            <w:tcBorders>
              <w:left w:val="single" w:color="000000" w:sz="6" w:space="0"/>
            </w:tcBorders>
            <w:vAlign w:val="center"/>
          </w:tcPr>
          <w:p w14:paraId="246E451D">
            <w:pPr>
              <w:spacing w:line="240" w:lineRule="exact"/>
              <w:jc w:val="center"/>
              <w:rPr>
                <w:rFonts w:hint="eastAsia" w:ascii="宋体" w:hAnsi="宋体" w:eastAsiaTheme="minorEastAsia" w:cstheme="minorBidi"/>
                <w:bCs/>
                <w:sz w:val="18"/>
                <w:szCs w:val="18"/>
              </w:rPr>
            </w:pPr>
            <w:r>
              <w:rPr>
                <w:rFonts w:hint="eastAsia" w:ascii="宋体" w:hAnsi="宋体" w:eastAsiaTheme="minorEastAsia" w:cstheme="minorBidi"/>
                <w:bCs/>
                <w:sz w:val="18"/>
                <w:szCs w:val="18"/>
              </w:rPr>
              <w:t>氮气（做主产品时）</w:t>
            </w:r>
          </w:p>
        </w:tc>
        <w:tc>
          <w:tcPr>
            <w:tcW w:w="3604" w:type="dxa"/>
            <w:vAlign w:val="center"/>
          </w:tcPr>
          <w:p w14:paraId="355E31C4">
            <w:pPr>
              <w:pStyle w:val="57"/>
              <w:ind w:firstLine="400"/>
              <w:jc w:val="center"/>
              <w:rPr>
                <w:rFonts w:hint="eastAsia" w:hAnsi="宋体" w:eastAsiaTheme="minorEastAsia" w:cstheme="minorBidi"/>
                <w:sz w:val="20"/>
                <w:szCs w:val="18"/>
              </w:rPr>
            </w:pPr>
            <w:r>
              <w:rPr>
                <w:rFonts w:hAnsi="宋体" w:eastAsiaTheme="minorEastAsia" w:cstheme="minorBidi"/>
                <w:sz w:val="20"/>
                <w:szCs w:val="18"/>
              </w:rPr>
              <w:t>19.68MJ / m</w:t>
            </w:r>
            <w:r>
              <w:rPr>
                <w:rFonts w:hAnsi="宋体" w:eastAsiaTheme="minorEastAsia" w:cstheme="minorBidi"/>
                <w:sz w:val="20"/>
                <w:szCs w:val="18"/>
                <w:vertAlign w:val="superscript"/>
              </w:rPr>
              <w:t>3</w:t>
            </w:r>
            <w:r>
              <w:rPr>
                <w:rFonts w:hAnsi="宋体" w:eastAsiaTheme="minorEastAsia" w:cstheme="minorBidi"/>
                <w:sz w:val="20"/>
                <w:szCs w:val="18"/>
              </w:rPr>
              <w:t xml:space="preserve"> ( 4700kcal/ m</w:t>
            </w:r>
            <w:r>
              <w:rPr>
                <w:rFonts w:hAnsi="宋体" w:eastAsiaTheme="minorEastAsia" w:cstheme="minorBidi"/>
                <w:sz w:val="20"/>
                <w:szCs w:val="18"/>
                <w:vertAlign w:val="superscript"/>
              </w:rPr>
              <w:t>3</w:t>
            </w:r>
            <w:r>
              <w:rPr>
                <w:rFonts w:hAnsi="宋体" w:eastAsiaTheme="minorEastAsia" w:cstheme="minorBidi"/>
                <w:sz w:val="20"/>
                <w:szCs w:val="18"/>
              </w:rPr>
              <w:t xml:space="preserve"> )</w:t>
            </w:r>
          </w:p>
        </w:tc>
        <w:tc>
          <w:tcPr>
            <w:tcW w:w="2908" w:type="dxa"/>
            <w:tcBorders>
              <w:right w:val="single" w:color="000000" w:sz="6" w:space="0"/>
            </w:tcBorders>
            <w:vAlign w:val="center"/>
          </w:tcPr>
          <w:p w14:paraId="79A809EF">
            <w:pPr>
              <w:pStyle w:val="57"/>
              <w:ind w:firstLine="400"/>
              <w:jc w:val="center"/>
              <w:rPr>
                <w:rFonts w:hint="eastAsia" w:ascii="Times New Roman" w:hAnsiTheme="minorHAnsi" w:eastAsiaTheme="minorEastAsia" w:cstheme="minorBidi"/>
                <w:sz w:val="20"/>
                <w:szCs w:val="18"/>
              </w:rPr>
            </w:pPr>
            <w:r>
              <w:rPr>
                <w:rFonts w:ascii="Times New Roman" w:hAnsiTheme="minorHAnsi" w:eastAsiaTheme="minorEastAsia" w:cstheme="minorBidi"/>
                <w:sz w:val="20"/>
                <w:szCs w:val="18"/>
              </w:rPr>
              <w:t>0.6714kgce/m</w:t>
            </w:r>
            <w:r>
              <w:rPr>
                <w:rFonts w:ascii="Times New Roman" w:hAnsiTheme="minorHAnsi" w:eastAsiaTheme="minorEastAsia" w:cstheme="minorBidi"/>
                <w:sz w:val="20"/>
                <w:szCs w:val="18"/>
                <w:vertAlign w:val="superscript"/>
              </w:rPr>
              <w:t>3</w:t>
            </w:r>
          </w:p>
        </w:tc>
      </w:tr>
      <w:tr w14:paraId="0431D8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trPr>
        <w:tc>
          <w:tcPr>
            <w:tcW w:w="2710" w:type="dxa"/>
            <w:tcBorders>
              <w:left w:val="single" w:color="000000" w:sz="6" w:space="0"/>
            </w:tcBorders>
            <w:vAlign w:val="center"/>
          </w:tcPr>
          <w:p w14:paraId="06B9ECFB">
            <w:pPr>
              <w:spacing w:line="240" w:lineRule="exact"/>
              <w:jc w:val="center"/>
              <w:rPr>
                <w:rFonts w:hint="eastAsia" w:ascii="宋体" w:hAnsi="宋体" w:eastAsiaTheme="minorEastAsia" w:cstheme="minorBidi"/>
                <w:bCs/>
                <w:sz w:val="18"/>
                <w:szCs w:val="18"/>
              </w:rPr>
            </w:pPr>
            <w:r>
              <w:rPr>
                <w:rFonts w:hint="eastAsia" w:ascii="宋体" w:hAnsi="宋体" w:eastAsiaTheme="minorEastAsia" w:cstheme="minorBidi"/>
                <w:bCs/>
                <w:sz w:val="18"/>
                <w:szCs w:val="18"/>
              </w:rPr>
              <w:t>氩气</w:t>
            </w:r>
          </w:p>
        </w:tc>
        <w:tc>
          <w:tcPr>
            <w:tcW w:w="3604" w:type="dxa"/>
            <w:vAlign w:val="center"/>
          </w:tcPr>
          <w:p w14:paraId="25C4FC1A">
            <w:pPr>
              <w:pStyle w:val="57"/>
              <w:ind w:firstLine="400"/>
              <w:jc w:val="center"/>
              <w:rPr>
                <w:rFonts w:hint="eastAsia" w:hAnsi="宋体" w:eastAsiaTheme="minorEastAsia" w:cstheme="minorBidi"/>
                <w:sz w:val="20"/>
                <w:szCs w:val="18"/>
              </w:rPr>
            </w:pPr>
            <w:r>
              <w:rPr>
                <w:rFonts w:hAnsi="宋体" w:eastAsiaTheme="minorEastAsia" w:cstheme="minorBidi"/>
                <w:sz w:val="20"/>
                <w:szCs w:val="18"/>
              </w:rPr>
              <w:t>1.0537MJ / m</w:t>
            </w:r>
            <w:r>
              <w:rPr>
                <w:rFonts w:hAnsi="宋体" w:eastAsiaTheme="minorEastAsia" w:cstheme="minorBidi"/>
                <w:sz w:val="20"/>
                <w:szCs w:val="18"/>
                <w:vertAlign w:val="superscript"/>
              </w:rPr>
              <w:t>3</w:t>
            </w:r>
            <w:r>
              <w:rPr>
                <w:rFonts w:hAnsi="宋体" w:eastAsiaTheme="minorEastAsia" w:cstheme="minorBidi"/>
                <w:sz w:val="20"/>
                <w:szCs w:val="18"/>
              </w:rPr>
              <w:t xml:space="preserve"> ( 251.8kcal/ m</w:t>
            </w:r>
            <w:r>
              <w:rPr>
                <w:rFonts w:hAnsi="宋体" w:eastAsiaTheme="minorEastAsia" w:cstheme="minorBidi"/>
                <w:sz w:val="20"/>
                <w:szCs w:val="18"/>
                <w:vertAlign w:val="superscript"/>
              </w:rPr>
              <w:t>3</w:t>
            </w:r>
            <w:r>
              <w:rPr>
                <w:rFonts w:hAnsi="宋体" w:eastAsiaTheme="minorEastAsia" w:cstheme="minorBidi"/>
                <w:sz w:val="20"/>
                <w:szCs w:val="18"/>
              </w:rPr>
              <w:t xml:space="preserve"> )</w:t>
            </w:r>
          </w:p>
        </w:tc>
        <w:tc>
          <w:tcPr>
            <w:tcW w:w="2908" w:type="dxa"/>
            <w:tcBorders>
              <w:right w:val="single" w:color="000000" w:sz="6" w:space="0"/>
            </w:tcBorders>
            <w:vAlign w:val="center"/>
          </w:tcPr>
          <w:p w14:paraId="11083DA7">
            <w:pPr>
              <w:pStyle w:val="57"/>
              <w:ind w:firstLine="400"/>
              <w:jc w:val="center"/>
              <w:rPr>
                <w:rFonts w:hint="eastAsia" w:ascii="Times New Roman" w:hAnsiTheme="minorHAnsi" w:eastAsiaTheme="minorEastAsia" w:cstheme="minorBidi"/>
                <w:sz w:val="20"/>
                <w:szCs w:val="18"/>
              </w:rPr>
            </w:pPr>
            <w:r>
              <w:rPr>
                <w:rFonts w:ascii="Times New Roman" w:hAnsiTheme="minorHAnsi" w:eastAsiaTheme="minorEastAsia" w:cstheme="minorBidi"/>
                <w:sz w:val="20"/>
                <w:szCs w:val="18"/>
              </w:rPr>
              <w:t>0.0360kgce/m</w:t>
            </w:r>
            <w:r>
              <w:rPr>
                <w:rFonts w:ascii="Times New Roman" w:hAnsiTheme="minorHAnsi" w:eastAsiaTheme="minorEastAsia" w:cstheme="minorBidi"/>
                <w:sz w:val="20"/>
                <w:szCs w:val="18"/>
                <w:vertAlign w:val="superscript"/>
              </w:rPr>
              <w:t>3</w:t>
            </w:r>
          </w:p>
        </w:tc>
      </w:tr>
      <w:tr w14:paraId="4711B7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2" w:hRule="atLeast"/>
        </w:trPr>
        <w:tc>
          <w:tcPr>
            <w:tcW w:w="9222" w:type="dxa"/>
            <w:gridSpan w:val="3"/>
            <w:tcBorders>
              <w:top w:val="single" w:color="000000" w:sz="6" w:space="0"/>
              <w:left w:val="single" w:color="000000" w:sz="6" w:space="0"/>
              <w:bottom w:val="single" w:color="000000" w:sz="6" w:space="0"/>
              <w:right w:val="single" w:color="000000" w:sz="6" w:space="0"/>
            </w:tcBorders>
          </w:tcPr>
          <w:p w14:paraId="07544618">
            <w:pPr>
              <w:pStyle w:val="244"/>
              <w:spacing w:before="89" w:line="218" w:lineRule="auto"/>
              <w:ind w:left="114"/>
              <w:rPr>
                <w:rFonts w:hint="eastAsia" w:ascii="宋体" w:hAnsi="宋体" w:eastAsia="宋体"/>
                <w:spacing w:val="16"/>
                <w:sz w:val="15"/>
                <w:szCs w:val="15"/>
                <w:lang w:eastAsia="zh-CN"/>
              </w:rPr>
            </w:pPr>
            <w:r>
              <w:rPr>
                <w:rFonts w:hint="eastAsia" w:ascii="宋体" w:hAnsi="宋体" w:eastAsia="宋体" w:cs="黑体"/>
                <w:spacing w:val="16"/>
                <w:sz w:val="18"/>
                <w:szCs w:val="18"/>
                <w:lang w:eastAsia="zh-CN"/>
              </w:rPr>
              <w:drawing>
                <wp:anchor distT="0" distB="0" distL="0" distR="0" simplePos="0" relativeHeight="251664384" behindDoc="0" locked="0" layoutInCell="1" allowOverlap="1">
                  <wp:simplePos x="0" y="0"/>
                  <wp:positionH relativeFrom="rightMargin">
                    <wp:posOffset>-3225800</wp:posOffset>
                  </wp:positionH>
                  <wp:positionV relativeFrom="topMargin">
                    <wp:posOffset>462280</wp:posOffset>
                  </wp:positionV>
                  <wp:extent cx="190500" cy="190500"/>
                  <wp:effectExtent l="0" t="0" r="0" b="0"/>
                  <wp:wrapNone/>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15"/>
                          <a:stretch>
                            <a:fillRect/>
                          </a:stretch>
                        </pic:blipFill>
                        <pic:spPr>
                          <a:xfrm>
                            <a:off x="0" y="0"/>
                            <a:ext cx="190500" cy="190500"/>
                          </a:xfrm>
                          <a:prstGeom prst="rect">
                            <a:avLst/>
                          </a:prstGeom>
                        </pic:spPr>
                      </pic:pic>
                    </a:graphicData>
                  </a:graphic>
                </wp:anchor>
              </w:drawing>
            </w:r>
            <w:r>
              <w:rPr>
                <w:rFonts w:hint="eastAsia" w:ascii="宋体" w:hAnsi="宋体" w:eastAsia="宋体" w:cs="黑体"/>
                <w:spacing w:val="16"/>
                <w:sz w:val="18"/>
                <w:szCs w:val="18"/>
                <w:lang w:eastAsia="zh-CN"/>
              </w:rPr>
              <w:t>注：</w:t>
            </w:r>
            <w:r>
              <w:rPr>
                <w:rFonts w:hint="eastAsia" w:ascii="宋体" w:hAnsi="宋体" w:eastAsia="宋体" w:cs="Times New Roman"/>
                <w:sz w:val="18"/>
                <w:szCs w:val="18"/>
                <w:lang w:eastAsia="zh-CN"/>
              </w:rPr>
              <w:t>单位耗能工质耗能量和折标准煤系数是按照电厂发电标准煤耗为0.404kgce/((kW·h)计算的折标准煤系数。实际计算时，推荐考虑上年电厂发电标准煤耗和制备耗能工质设备效率等影响因素，对折标准煤系数进行修正。</w:t>
            </w:r>
          </w:p>
        </w:tc>
      </w:tr>
    </w:tbl>
    <w:p w14:paraId="0DAB0724">
      <w:pPr>
        <w:pStyle w:val="57"/>
        <w:ind w:firstLine="420"/>
      </w:pPr>
    </w:p>
    <w:p w14:paraId="753DB29D">
      <w:pPr>
        <w:pStyle w:val="57"/>
        <w:ind w:firstLine="420"/>
      </w:pPr>
    </w:p>
    <w:p w14:paraId="5AFA1643">
      <w:pPr>
        <w:pStyle w:val="57"/>
        <w:ind w:firstLine="420"/>
      </w:pPr>
    </w:p>
    <w:bookmarkEnd w:id="116"/>
    <w:p w14:paraId="4734F177">
      <w:pPr>
        <w:pStyle w:val="57"/>
        <w:ind w:firstLine="420"/>
        <w:sectPr>
          <w:pgSz w:w="11906" w:h="16838"/>
          <w:pgMar w:top="1928" w:right="1134" w:bottom="1134" w:left="1134" w:header="1418" w:footer="1134" w:gutter="284"/>
          <w:cols w:space="425" w:num="1"/>
          <w:formProt w:val="0"/>
          <w:docGrid w:linePitch="312" w:charSpace="0"/>
        </w:sectPr>
      </w:pPr>
      <w:bookmarkStart w:id="127" w:name="BookMark6"/>
    </w:p>
    <w:p w14:paraId="55203600">
      <w:pPr>
        <w:pStyle w:val="64"/>
        <w:spacing w:after="120"/>
      </w:pPr>
      <w:bookmarkStart w:id="128" w:name="_Toc223181395"/>
      <w:r>
        <w:rPr>
          <w:rFonts w:hint="eastAsia"/>
          <w:spacing w:val="105"/>
        </w:rPr>
        <w:t>参考文</w:t>
      </w:r>
      <w:r>
        <w:rPr>
          <w:rFonts w:hint="eastAsia"/>
        </w:rPr>
        <w:t>献</w:t>
      </w:r>
      <w:bookmarkEnd w:id="128"/>
    </w:p>
    <w:p w14:paraId="4FC47AB0">
      <w:pPr>
        <w:snapToGrid w:val="0"/>
        <w:spacing w:line="240" w:lineRule="auto"/>
        <w:ind w:firstLine="420" w:firstLineChars="200"/>
        <w:outlineLvl w:val="0"/>
        <w:rPr>
          <w:rFonts w:hint="eastAsia" w:ascii="宋体" w:hAnsi="宋体"/>
        </w:rPr>
      </w:pPr>
      <w:bookmarkStart w:id="129" w:name="_Toc31102"/>
      <w:bookmarkStart w:id="130" w:name="_Toc43281824"/>
      <w:r>
        <w:rPr>
          <w:rFonts w:hint="eastAsia" w:ascii="宋体" w:hAnsi="宋体"/>
        </w:rPr>
        <w:t>[1] GB/T 2589—2020 综合能耗计算通则</w:t>
      </w:r>
      <w:bookmarkEnd w:id="129"/>
    </w:p>
    <w:p w14:paraId="3FA37FDD">
      <w:pPr>
        <w:snapToGrid w:val="0"/>
        <w:spacing w:line="240" w:lineRule="auto"/>
        <w:ind w:firstLine="420" w:firstLineChars="200"/>
        <w:outlineLvl w:val="0"/>
        <w:rPr>
          <w:rFonts w:hint="eastAsia" w:ascii="宋体" w:hAnsi="宋体"/>
        </w:rPr>
      </w:pPr>
      <w:bookmarkStart w:id="131" w:name="_Toc10355"/>
      <w:r>
        <w:rPr>
          <w:rFonts w:hint="eastAsia" w:ascii="宋体" w:hAnsi="宋体"/>
        </w:rPr>
        <w:t>[2] GB/T 12723—2024 单位产品能源消耗编制通则</w:t>
      </w:r>
      <w:bookmarkEnd w:id="131"/>
    </w:p>
    <w:p w14:paraId="7E6D1786">
      <w:pPr>
        <w:snapToGrid w:val="0"/>
        <w:spacing w:line="240" w:lineRule="auto"/>
        <w:ind w:firstLine="420" w:firstLineChars="200"/>
        <w:outlineLvl w:val="0"/>
        <w:rPr>
          <w:rFonts w:hint="eastAsia" w:ascii="宋体" w:hAnsi="宋体"/>
        </w:rPr>
      </w:pPr>
      <w:bookmarkStart w:id="132" w:name="_Toc21189"/>
      <w:r>
        <w:rPr>
          <w:rFonts w:hint="eastAsia" w:ascii="宋体" w:hAnsi="宋体"/>
        </w:rPr>
        <w:t>[3] GB/T 16614—1996 企业能量平衡统计方法</w:t>
      </w:r>
      <w:bookmarkEnd w:id="130"/>
      <w:bookmarkEnd w:id="132"/>
    </w:p>
    <w:p w14:paraId="3A2C7281">
      <w:pPr>
        <w:snapToGrid w:val="0"/>
        <w:spacing w:line="240" w:lineRule="auto"/>
        <w:ind w:firstLine="420" w:firstLineChars="200"/>
        <w:outlineLvl w:val="0"/>
        <w:rPr>
          <w:rFonts w:hint="eastAsia" w:ascii="宋体" w:hAnsi="宋体"/>
        </w:rPr>
      </w:pPr>
      <w:bookmarkStart w:id="133" w:name="_Toc26866"/>
      <w:bookmarkStart w:id="134" w:name="_Toc43281826"/>
      <w:r>
        <w:rPr>
          <w:rFonts w:hint="eastAsia" w:ascii="宋体" w:hAnsi="宋体"/>
        </w:rPr>
        <w:t>[4] GB/T 17358  热处理生产电耗定额及其计算和测定方法</w:t>
      </w:r>
      <w:bookmarkEnd w:id="133"/>
    </w:p>
    <w:p w14:paraId="56319E65">
      <w:pPr>
        <w:snapToGrid w:val="0"/>
        <w:spacing w:line="240" w:lineRule="auto"/>
        <w:ind w:firstLine="420" w:firstLineChars="200"/>
        <w:outlineLvl w:val="0"/>
        <w:rPr>
          <w:rFonts w:hint="eastAsia" w:ascii="宋体" w:hAnsi="宋体"/>
        </w:rPr>
      </w:pPr>
      <w:bookmarkStart w:id="135" w:name="_Toc30449"/>
      <w:r>
        <w:rPr>
          <w:rFonts w:hint="eastAsia" w:ascii="宋体" w:hAnsi="宋体"/>
        </w:rPr>
        <w:t>[5] GB/T 23331—2012 能源管理体系 要求</w:t>
      </w:r>
      <w:bookmarkEnd w:id="134"/>
      <w:bookmarkEnd w:id="135"/>
    </w:p>
    <w:p w14:paraId="4896793C">
      <w:pPr>
        <w:snapToGrid w:val="0"/>
        <w:spacing w:line="240" w:lineRule="auto"/>
        <w:ind w:firstLine="420" w:firstLineChars="200"/>
        <w:outlineLvl w:val="0"/>
        <w:rPr>
          <w:rFonts w:hint="eastAsia" w:ascii="宋体" w:hAnsi="宋体"/>
        </w:rPr>
      </w:pPr>
      <w:bookmarkStart w:id="136" w:name="_Toc27536"/>
      <w:r>
        <w:rPr>
          <w:rFonts w:hint="eastAsia" w:ascii="宋体" w:hAnsi="宋体"/>
        </w:rPr>
        <w:t>[6] T/CFA 0063-2023  铸造企业规范条件</w:t>
      </w:r>
      <w:bookmarkEnd w:id="136"/>
    </w:p>
    <w:p w14:paraId="4FB5C5E4">
      <w:pPr>
        <w:pStyle w:val="57"/>
        <w:ind w:firstLine="420"/>
      </w:pPr>
    </w:p>
    <w:p w14:paraId="0B75A688">
      <w:pPr>
        <w:pStyle w:val="57"/>
        <w:ind w:firstLine="420"/>
      </w:pPr>
    </w:p>
    <w:p w14:paraId="3B8255B2">
      <w:pPr>
        <w:pStyle w:val="57"/>
        <w:ind w:firstLine="420"/>
      </w:pPr>
    </w:p>
    <w:p w14:paraId="121E608A">
      <w:pPr>
        <w:pStyle w:val="57"/>
        <w:ind w:firstLine="420"/>
      </w:pPr>
    </w:p>
    <w:bookmarkEnd w:id="127"/>
    <w:p w14:paraId="326A3D90">
      <w:pPr>
        <w:pStyle w:val="57"/>
        <w:ind w:firstLine="0" w:firstLineChars="0"/>
        <w:jc w:val="center"/>
      </w:pPr>
      <w:bookmarkStart w:id="137" w:name="BookMark8"/>
      <w:r>
        <w:drawing>
          <wp:inline distT="0" distB="0" distL="0" distR="0">
            <wp:extent cx="1485900" cy="317500"/>
            <wp:effectExtent l="0" t="0" r="0" b="6350"/>
            <wp:docPr id="891010272" name="图片 1"/>
            <wp:cNvGraphicFramePr/>
            <a:graphic xmlns:a="http://schemas.openxmlformats.org/drawingml/2006/main">
              <a:graphicData uri="http://schemas.openxmlformats.org/drawingml/2006/picture">
                <pic:pic xmlns:pic="http://schemas.openxmlformats.org/drawingml/2006/picture">
                  <pic:nvPicPr>
                    <pic:cNvPr id="891010272"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7"/>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2895C">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A9814">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30D19">
    <w:pPr>
      <w:pStyle w:val="53"/>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95917">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9D2AF">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5EB99">
    <w:pPr>
      <w:pStyle w:val="62"/>
      <w:rPr>
        <w:rFonts w:hint="eastAsia"/>
      </w:rPr>
    </w:pPr>
    <w:r>
      <w:fldChar w:fldCharType="begin"/>
    </w:r>
    <w:r>
      <w:instrText xml:space="preserve"> STYLEREF  标准文件_文件编号  \* MERGEFORMAT </w:instrText>
    </w:r>
    <w:r>
      <w:fldChar w:fldCharType="separate"/>
    </w:r>
    <w:r>
      <w:t>GB/Z XXXXX—XXXX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AB480">
    <w:pPr>
      <w:pStyle w:val="19"/>
      <w:jc w:val="right"/>
    </w:pPr>
    <w:r>
      <w:fldChar w:fldCharType="begin"/>
    </w:r>
    <w:r>
      <w:instrText xml:space="preserve"> STYLEREF  标准文件_文件编号  \* MERGEFORMAT </w:instrText>
    </w:r>
    <w:r>
      <w:fldChar w:fldCharType="separate"/>
    </w:r>
    <w:r>
      <w:t>GB/Z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5191"/>
        </w:tabs>
        <w:ind w:left="5191" w:hanging="648"/>
      </w:pPr>
    </w:lvl>
    <w:lvl w:ilvl="1" w:tentative="0">
      <w:start w:val="1"/>
      <w:numFmt w:val="lowerLetter"/>
      <w:lvlText w:val="%2)"/>
      <w:lvlJc w:val="left"/>
      <w:pPr>
        <w:tabs>
          <w:tab w:val="left" w:pos="5383"/>
        </w:tabs>
        <w:ind w:left="5383" w:hanging="420"/>
      </w:pPr>
    </w:lvl>
    <w:lvl w:ilvl="2" w:tentative="0">
      <w:start w:val="1"/>
      <w:numFmt w:val="lowerRoman"/>
      <w:lvlText w:val="%3."/>
      <w:lvlJc w:val="right"/>
      <w:pPr>
        <w:tabs>
          <w:tab w:val="left" w:pos="5803"/>
        </w:tabs>
        <w:ind w:left="5803" w:hanging="420"/>
      </w:pPr>
    </w:lvl>
    <w:lvl w:ilvl="3" w:tentative="0">
      <w:start w:val="1"/>
      <w:numFmt w:val="decimal"/>
      <w:lvlText w:val="%4."/>
      <w:lvlJc w:val="left"/>
      <w:pPr>
        <w:tabs>
          <w:tab w:val="left" w:pos="6223"/>
        </w:tabs>
        <w:ind w:left="6223" w:hanging="420"/>
      </w:pPr>
    </w:lvl>
    <w:lvl w:ilvl="4" w:tentative="0">
      <w:start w:val="1"/>
      <w:numFmt w:val="lowerLetter"/>
      <w:lvlText w:val="%5)"/>
      <w:lvlJc w:val="left"/>
      <w:pPr>
        <w:tabs>
          <w:tab w:val="left" w:pos="6643"/>
        </w:tabs>
        <w:ind w:left="6643" w:hanging="420"/>
      </w:pPr>
    </w:lvl>
    <w:lvl w:ilvl="5" w:tentative="0">
      <w:start w:val="1"/>
      <w:numFmt w:val="lowerRoman"/>
      <w:lvlText w:val="%6."/>
      <w:lvlJc w:val="right"/>
      <w:pPr>
        <w:tabs>
          <w:tab w:val="left" w:pos="7063"/>
        </w:tabs>
        <w:ind w:left="7063" w:hanging="420"/>
      </w:pPr>
    </w:lvl>
    <w:lvl w:ilvl="6" w:tentative="0">
      <w:start w:val="1"/>
      <w:numFmt w:val="decimal"/>
      <w:lvlText w:val="%7."/>
      <w:lvlJc w:val="left"/>
      <w:pPr>
        <w:tabs>
          <w:tab w:val="left" w:pos="7483"/>
        </w:tabs>
        <w:ind w:left="7483" w:hanging="420"/>
      </w:pPr>
    </w:lvl>
    <w:lvl w:ilvl="7" w:tentative="0">
      <w:start w:val="1"/>
      <w:numFmt w:val="lowerLetter"/>
      <w:lvlText w:val="%8)"/>
      <w:lvlJc w:val="left"/>
      <w:pPr>
        <w:tabs>
          <w:tab w:val="left" w:pos="7903"/>
        </w:tabs>
        <w:ind w:left="7903" w:hanging="420"/>
      </w:pPr>
    </w:lvl>
    <w:lvl w:ilvl="8" w:tentative="0">
      <w:start w:val="1"/>
      <w:numFmt w:val="lowerRoman"/>
      <w:lvlText w:val="%9."/>
      <w:lvlJc w:val="right"/>
      <w:pPr>
        <w:tabs>
          <w:tab w:val="left" w:pos="8323"/>
        </w:tabs>
        <w:ind w:left="8323"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DBF583A"/>
    <w:multiLevelType w:val="multilevel"/>
    <w:tmpl w:val="1DBF583A"/>
    <w:lvl w:ilvl="0" w:tentative="0">
      <w:start w:val="1"/>
      <w:numFmt w:val="decimal"/>
      <w:pStyle w:val="243"/>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0">
    <w:nsid w:val="1E3C2409"/>
    <w:multiLevelType w:val="multilevel"/>
    <w:tmpl w:val="1E3C2409"/>
    <w:lvl w:ilvl="0" w:tentative="0">
      <w:start w:val="1"/>
      <w:numFmt w:val="lowerLetter"/>
      <w:pStyle w:val="246"/>
      <w:lvlText w:val="%1)"/>
      <w:lvlJc w:val="left"/>
      <w:pPr>
        <w:ind w:left="780" w:hanging="360"/>
      </w:pPr>
      <w:rPr>
        <w:rFonts w:hint="default" w:cs="宋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1FC91163"/>
    <w:multiLevelType w:val="multilevel"/>
    <w:tmpl w:val="1FC91163"/>
    <w:lvl w:ilvl="0" w:tentative="0">
      <w:start w:val="1"/>
      <w:numFmt w:val="decimal"/>
      <w:pStyle w:val="23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234"/>
      <w:suff w:val="nothing"/>
      <w:lvlText w:val="%1.%2.%3.%4.%5　"/>
      <w:lvlJc w:val="left"/>
      <w:pPr>
        <w:ind w:left="0" w:firstLine="0"/>
      </w:pPr>
      <w:rPr>
        <w:rFonts w:hint="eastAsia" w:ascii="黑体" w:hAnsi="Times New Roman" w:eastAsia="黑体"/>
        <w:b w:val="0"/>
        <w:i w:val="0"/>
        <w:sz w:val="21"/>
      </w:rPr>
    </w:lvl>
    <w:lvl w:ilvl="5" w:tentative="0">
      <w:start w:val="1"/>
      <w:numFmt w:val="decimal"/>
      <w:pStyle w:val="23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5">
    <w:nsid w:val="44C50F90"/>
    <w:multiLevelType w:val="multilevel"/>
    <w:tmpl w:val="44C50F90"/>
    <w:lvl w:ilvl="0" w:tentative="0">
      <w:start w:val="1"/>
      <w:numFmt w:val="lowerLetter"/>
      <w:pStyle w:val="175"/>
      <w:lvlText w:val="%1)"/>
      <w:lvlJc w:val="left"/>
      <w:pPr>
        <w:tabs>
          <w:tab w:val="left" w:pos="851"/>
        </w:tabs>
        <w:ind w:left="851" w:hanging="426"/>
      </w:pPr>
      <w:rPr>
        <w:rFonts w:hint="default" w:ascii="Times New Roman" w:hAnsi="Times New Roman" w:eastAsia="宋体" w:cs="Times New Roman"/>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0"/>
  </w:num>
  <w:num w:numId="3">
    <w:abstractNumId w:val="5"/>
  </w:num>
  <w:num w:numId="4">
    <w:abstractNumId w:val="26"/>
  </w:num>
  <w:num w:numId="5">
    <w:abstractNumId w:val="21"/>
  </w:num>
  <w:num w:numId="6">
    <w:abstractNumId w:val="16"/>
  </w:num>
  <w:num w:numId="7">
    <w:abstractNumId w:val="8"/>
  </w:num>
  <w:num w:numId="8">
    <w:abstractNumId w:val="3"/>
  </w:num>
  <w:num w:numId="9">
    <w:abstractNumId w:val="11"/>
  </w:num>
  <w:num w:numId="10">
    <w:abstractNumId w:val="19"/>
  </w:num>
  <w:num w:numId="11">
    <w:abstractNumId w:val="28"/>
  </w:num>
  <w:num w:numId="12">
    <w:abstractNumId w:val="14"/>
  </w:num>
  <w:num w:numId="13">
    <w:abstractNumId w:val="15"/>
  </w:num>
  <w:num w:numId="14">
    <w:abstractNumId w:val="7"/>
  </w:num>
  <w:num w:numId="15">
    <w:abstractNumId w:val="22"/>
  </w:num>
  <w:num w:numId="16">
    <w:abstractNumId w:val="24"/>
  </w:num>
  <w:num w:numId="17">
    <w:abstractNumId w:val="20"/>
  </w:num>
  <w:num w:numId="18">
    <w:abstractNumId w:val="32"/>
  </w:num>
  <w:num w:numId="19">
    <w:abstractNumId w:val="18"/>
  </w:num>
  <w:num w:numId="20">
    <w:abstractNumId w:val="1"/>
  </w:num>
  <w:num w:numId="21">
    <w:abstractNumId w:val="13"/>
  </w:num>
  <w:num w:numId="22">
    <w:abstractNumId w:val="33"/>
  </w:num>
  <w:num w:numId="23">
    <w:abstractNumId w:val="23"/>
  </w:num>
  <w:num w:numId="24">
    <w:abstractNumId w:val="6"/>
  </w:num>
  <w:num w:numId="25">
    <w:abstractNumId w:val="29"/>
  </w:num>
  <w:num w:numId="26">
    <w:abstractNumId w:val="31"/>
  </w:num>
  <w:num w:numId="27">
    <w:abstractNumId w:val="2"/>
  </w:num>
  <w:num w:numId="28">
    <w:abstractNumId w:val="4"/>
  </w:num>
  <w:num w:numId="29">
    <w:abstractNumId w:val="17"/>
  </w:num>
  <w:num w:numId="30">
    <w:abstractNumId w:val="27"/>
  </w:num>
  <w:num w:numId="31">
    <w:abstractNumId w:val="25"/>
  </w:num>
  <w:num w:numId="32">
    <w:abstractNumId w:val="12"/>
  </w:num>
  <w:num w:numId="33">
    <w:abstractNumId w:val="9"/>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doNotDisplayPageBoundaries w:val="1"/>
  <w:bordersDoNotSurroundHeader w:val="1"/>
  <w:bordersDoNotSurroundFooter w:val="1"/>
  <w:attachedTemplate r:id="rId1"/>
  <w:documentProtection w:edit="forms" w:enforcement="1" w:cryptProviderType="rsaAES" w:cryptAlgorithmClass="hash" w:cryptAlgorithmType="typeAny" w:cryptAlgorithmSid="14" w:cryptSpinCount="100000" w:hash="FisAiqt/bURd2cUuZCkcWDa7YX9yj08RYvg7M2QabjH/Qnv/26T0MqcXziEqX/JCj0aLmOkEStJIyN7WjQRiPQ==" w:salt="AfGlpAOlpWgNsrQk/b0deg=="/>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E6A"/>
    <w:rsid w:val="0000040A"/>
    <w:rsid w:val="00000A94"/>
    <w:rsid w:val="00001972"/>
    <w:rsid w:val="00001D9A"/>
    <w:rsid w:val="00003883"/>
    <w:rsid w:val="000045EB"/>
    <w:rsid w:val="0000509C"/>
    <w:rsid w:val="00007289"/>
    <w:rsid w:val="00007B3A"/>
    <w:rsid w:val="000107E0"/>
    <w:rsid w:val="00011FDE"/>
    <w:rsid w:val="00012FFD"/>
    <w:rsid w:val="00014162"/>
    <w:rsid w:val="00014340"/>
    <w:rsid w:val="00015E54"/>
    <w:rsid w:val="00016A9C"/>
    <w:rsid w:val="00022184"/>
    <w:rsid w:val="00022762"/>
    <w:rsid w:val="000238E0"/>
    <w:rsid w:val="00023976"/>
    <w:rsid w:val="00023D18"/>
    <w:rsid w:val="000249DB"/>
    <w:rsid w:val="0002595E"/>
    <w:rsid w:val="0002741C"/>
    <w:rsid w:val="000303C3"/>
    <w:rsid w:val="000331D3"/>
    <w:rsid w:val="000346A5"/>
    <w:rsid w:val="00034DD3"/>
    <w:rsid w:val="000359C3"/>
    <w:rsid w:val="00035A7D"/>
    <w:rsid w:val="00037B4C"/>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0E7E"/>
    <w:rsid w:val="00082317"/>
    <w:rsid w:val="00083D2C"/>
    <w:rsid w:val="000859C2"/>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898"/>
    <w:rsid w:val="000B1592"/>
    <w:rsid w:val="000B1845"/>
    <w:rsid w:val="000B1FF2"/>
    <w:rsid w:val="000B3719"/>
    <w:rsid w:val="000B3CDA"/>
    <w:rsid w:val="000B6A0B"/>
    <w:rsid w:val="000C0F6C"/>
    <w:rsid w:val="000C11DB"/>
    <w:rsid w:val="000C1492"/>
    <w:rsid w:val="000C2FBD"/>
    <w:rsid w:val="000C4B41"/>
    <w:rsid w:val="000C57D6"/>
    <w:rsid w:val="000C7666"/>
    <w:rsid w:val="000D0A9C"/>
    <w:rsid w:val="000D1795"/>
    <w:rsid w:val="000D329A"/>
    <w:rsid w:val="000D43C2"/>
    <w:rsid w:val="000D4B9C"/>
    <w:rsid w:val="000D4EB6"/>
    <w:rsid w:val="000D753B"/>
    <w:rsid w:val="000E024D"/>
    <w:rsid w:val="000E4C9E"/>
    <w:rsid w:val="000E6FD7"/>
    <w:rsid w:val="000F06E1"/>
    <w:rsid w:val="000F0E3C"/>
    <w:rsid w:val="000F19D5"/>
    <w:rsid w:val="000F4AEA"/>
    <w:rsid w:val="000F67E9"/>
    <w:rsid w:val="00103140"/>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144F"/>
    <w:rsid w:val="00142969"/>
    <w:rsid w:val="0014405C"/>
    <w:rsid w:val="001457E7"/>
    <w:rsid w:val="00145D9D"/>
    <w:rsid w:val="00146388"/>
    <w:rsid w:val="001529E5"/>
    <w:rsid w:val="00153C7E"/>
    <w:rsid w:val="0015427E"/>
    <w:rsid w:val="00156B25"/>
    <w:rsid w:val="00156E1A"/>
    <w:rsid w:val="00157B55"/>
    <w:rsid w:val="001631BF"/>
    <w:rsid w:val="00163A60"/>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821"/>
    <w:rsid w:val="00176DFD"/>
    <w:rsid w:val="001852C9"/>
    <w:rsid w:val="00190087"/>
    <w:rsid w:val="001913C4"/>
    <w:rsid w:val="001932B5"/>
    <w:rsid w:val="0019348F"/>
    <w:rsid w:val="00193A07"/>
    <w:rsid w:val="00194C95"/>
    <w:rsid w:val="00195C34"/>
    <w:rsid w:val="00196BD1"/>
    <w:rsid w:val="001A1A53"/>
    <w:rsid w:val="001A234A"/>
    <w:rsid w:val="001A4E2C"/>
    <w:rsid w:val="001B06E8"/>
    <w:rsid w:val="001B4C8B"/>
    <w:rsid w:val="001B71D0"/>
    <w:rsid w:val="001B71EE"/>
    <w:rsid w:val="001B7B02"/>
    <w:rsid w:val="001C04A8"/>
    <w:rsid w:val="001C2C03"/>
    <w:rsid w:val="001C42F7"/>
    <w:rsid w:val="001C49E5"/>
    <w:rsid w:val="001C680C"/>
    <w:rsid w:val="001C7E46"/>
    <w:rsid w:val="001C7FEA"/>
    <w:rsid w:val="001D0499"/>
    <w:rsid w:val="001D0BBE"/>
    <w:rsid w:val="001D0ED4"/>
    <w:rsid w:val="001D1418"/>
    <w:rsid w:val="001D212F"/>
    <w:rsid w:val="001D29D7"/>
    <w:rsid w:val="001D2DE7"/>
    <w:rsid w:val="001D411C"/>
    <w:rsid w:val="001E1B6A"/>
    <w:rsid w:val="001E2484"/>
    <w:rsid w:val="001E3CC4"/>
    <w:rsid w:val="001E4882"/>
    <w:rsid w:val="001E5F01"/>
    <w:rsid w:val="001E73AB"/>
    <w:rsid w:val="001F092D"/>
    <w:rsid w:val="001F143A"/>
    <w:rsid w:val="001F1605"/>
    <w:rsid w:val="001F2508"/>
    <w:rsid w:val="001F4816"/>
    <w:rsid w:val="001F69B4"/>
    <w:rsid w:val="001F77C7"/>
    <w:rsid w:val="00200183"/>
    <w:rsid w:val="0020107D"/>
    <w:rsid w:val="00202AA4"/>
    <w:rsid w:val="0020310D"/>
    <w:rsid w:val="002031F7"/>
    <w:rsid w:val="002040E6"/>
    <w:rsid w:val="0020527B"/>
    <w:rsid w:val="00206098"/>
    <w:rsid w:val="00210B15"/>
    <w:rsid w:val="002142EA"/>
    <w:rsid w:val="002204BB"/>
    <w:rsid w:val="00221B79"/>
    <w:rsid w:val="00221C6B"/>
    <w:rsid w:val="00224B92"/>
    <w:rsid w:val="002253A1"/>
    <w:rsid w:val="00225CF8"/>
    <w:rsid w:val="0022794E"/>
    <w:rsid w:val="00233D64"/>
    <w:rsid w:val="0023482A"/>
    <w:rsid w:val="002359CB"/>
    <w:rsid w:val="00243540"/>
    <w:rsid w:val="0024497B"/>
    <w:rsid w:val="0024515B"/>
    <w:rsid w:val="00246021"/>
    <w:rsid w:val="0024666E"/>
    <w:rsid w:val="0024671F"/>
    <w:rsid w:val="00247F52"/>
    <w:rsid w:val="00250B25"/>
    <w:rsid w:val="00250BBE"/>
    <w:rsid w:val="0025194F"/>
    <w:rsid w:val="002563B9"/>
    <w:rsid w:val="0026148A"/>
    <w:rsid w:val="00262696"/>
    <w:rsid w:val="002643C3"/>
    <w:rsid w:val="00264A0C"/>
    <w:rsid w:val="00265E6A"/>
    <w:rsid w:val="00267EF4"/>
    <w:rsid w:val="00270247"/>
    <w:rsid w:val="00270CB8"/>
    <w:rsid w:val="00272B08"/>
    <w:rsid w:val="00273660"/>
    <w:rsid w:val="00280681"/>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657"/>
    <w:rsid w:val="002B0C40"/>
    <w:rsid w:val="002B1966"/>
    <w:rsid w:val="002B4508"/>
    <w:rsid w:val="002B5779"/>
    <w:rsid w:val="002B7332"/>
    <w:rsid w:val="002B7F51"/>
    <w:rsid w:val="002C09E7"/>
    <w:rsid w:val="002C3F07"/>
    <w:rsid w:val="002C5278"/>
    <w:rsid w:val="002C6424"/>
    <w:rsid w:val="002C7EBB"/>
    <w:rsid w:val="002D06C1"/>
    <w:rsid w:val="002D1272"/>
    <w:rsid w:val="002D42B5"/>
    <w:rsid w:val="002D4F1A"/>
    <w:rsid w:val="002D5E4A"/>
    <w:rsid w:val="002D6EC6"/>
    <w:rsid w:val="002D79AC"/>
    <w:rsid w:val="002E039D"/>
    <w:rsid w:val="002E39A3"/>
    <w:rsid w:val="002E4D5A"/>
    <w:rsid w:val="002E6326"/>
    <w:rsid w:val="002F30E0"/>
    <w:rsid w:val="002F31B1"/>
    <w:rsid w:val="002F35E4"/>
    <w:rsid w:val="002F3730"/>
    <w:rsid w:val="002F38E1"/>
    <w:rsid w:val="002F5845"/>
    <w:rsid w:val="002F7377"/>
    <w:rsid w:val="002F7AF6"/>
    <w:rsid w:val="00300E63"/>
    <w:rsid w:val="0030245C"/>
    <w:rsid w:val="00302F5F"/>
    <w:rsid w:val="0030441D"/>
    <w:rsid w:val="00306063"/>
    <w:rsid w:val="00310652"/>
    <w:rsid w:val="00313B85"/>
    <w:rsid w:val="0031746C"/>
    <w:rsid w:val="00317988"/>
    <w:rsid w:val="00317DB5"/>
    <w:rsid w:val="003221B4"/>
    <w:rsid w:val="00322E62"/>
    <w:rsid w:val="00324EDD"/>
    <w:rsid w:val="003314A5"/>
    <w:rsid w:val="00336C64"/>
    <w:rsid w:val="00337162"/>
    <w:rsid w:val="00337167"/>
    <w:rsid w:val="0034194F"/>
    <w:rsid w:val="00344605"/>
    <w:rsid w:val="003450C5"/>
    <w:rsid w:val="003474AA"/>
    <w:rsid w:val="00350B72"/>
    <w:rsid w:val="00350D1D"/>
    <w:rsid w:val="00352C83"/>
    <w:rsid w:val="003577F5"/>
    <w:rsid w:val="003615D2"/>
    <w:rsid w:val="00362A3C"/>
    <w:rsid w:val="003637E5"/>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749"/>
    <w:rsid w:val="00387ADC"/>
    <w:rsid w:val="00390020"/>
    <w:rsid w:val="003903D6"/>
    <w:rsid w:val="00390C63"/>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4A"/>
    <w:rsid w:val="003B6BE3"/>
    <w:rsid w:val="003C010C"/>
    <w:rsid w:val="003C0A6C"/>
    <w:rsid w:val="003C4C2C"/>
    <w:rsid w:val="003C5A43"/>
    <w:rsid w:val="003D0519"/>
    <w:rsid w:val="003D0FF6"/>
    <w:rsid w:val="003D262C"/>
    <w:rsid w:val="003D6D61"/>
    <w:rsid w:val="003E091D"/>
    <w:rsid w:val="003E1C53"/>
    <w:rsid w:val="003E2A69"/>
    <w:rsid w:val="003E2BBB"/>
    <w:rsid w:val="003E2D49"/>
    <w:rsid w:val="003E2FD4"/>
    <w:rsid w:val="003E49F6"/>
    <w:rsid w:val="003E6FAB"/>
    <w:rsid w:val="003F0841"/>
    <w:rsid w:val="003F23D3"/>
    <w:rsid w:val="003F3F08"/>
    <w:rsid w:val="003F49F1"/>
    <w:rsid w:val="003F5675"/>
    <w:rsid w:val="003F5802"/>
    <w:rsid w:val="003F6272"/>
    <w:rsid w:val="00400E72"/>
    <w:rsid w:val="00401400"/>
    <w:rsid w:val="004036E2"/>
    <w:rsid w:val="00404869"/>
    <w:rsid w:val="00405884"/>
    <w:rsid w:val="00407D39"/>
    <w:rsid w:val="00412209"/>
    <w:rsid w:val="0041477A"/>
    <w:rsid w:val="00414B34"/>
    <w:rsid w:val="00414F78"/>
    <w:rsid w:val="004167A3"/>
    <w:rsid w:val="00424114"/>
    <w:rsid w:val="00432DAA"/>
    <w:rsid w:val="00434305"/>
    <w:rsid w:val="00435DF7"/>
    <w:rsid w:val="0044020D"/>
    <w:rsid w:val="0044083F"/>
    <w:rsid w:val="00441AE7"/>
    <w:rsid w:val="00445574"/>
    <w:rsid w:val="004467FB"/>
    <w:rsid w:val="00451A9C"/>
    <w:rsid w:val="00452D6B"/>
    <w:rsid w:val="004534F7"/>
    <w:rsid w:val="00454484"/>
    <w:rsid w:val="00454F4C"/>
    <w:rsid w:val="0045517B"/>
    <w:rsid w:val="004570FF"/>
    <w:rsid w:val="00462C44"/>
    <w:rsid w:val="00463B77"/>
    <w:rsid w:val="00463C7B"/>
    <w:rsid w:val="00463F4E"/>
    <w:rsid w:val="004644A6"/>
    <w:rsid w:val="00465098"/>
    <w:rsid w:val="004659BD"/>
    <w:rsid w:val="00470775"/>
    <w:rsid w:val="004729E0"/>
    <w:rsid w:val="004746B1"/>
    <w:rsid w:val="00475410"/>
    <w:rsid w:val="0047583F"/>
    <w:rsid w:val="00484936"/>
    <w:rsid w:val="00485C89"/>
    <w:rsid w:val="00486BE3"/>
    <w:rsid w:val="004905E4"/>
    <w:rsid w:val="00490A89"/>
    <w:rsid w:val="00490AB4"/>
    <w:rsid w:val="00492F02"/>
    <w:rsid w:val="004939AE"/>
    <w:rsid w:val="00493F4C"/>
    <w:rsid w:val="004A12DF"/>
    <w:rsid w:val="004A1BA8"/>
    <w:rsid w:val="004A4B57"/>
    <w:rsid w:val="004A63FA"/>
    <w:rsid w:val="004B2701"/>
    <w:rsid w:val="004B2E1B"/>
    <w:rsid w:val="004B3E93"/>
    <w:rsid w:val="004B40C9"/>
    <w:rsid w:val="004B41D2"/>
    <w:rsid w:val="004C1FBC"/>
    <w:rsid w:val="004C3F1D"/>
    <w:rsid w:val="004C458D"/>
    <w:rsid w:val="004C7556"/>
    <w:rsid w:val="004C7E9D"/>
    <w:rsid w:val="004C7F67"/>
    <w:rsid w:val="004D076D"/>
    <w:rsid w:val="004D0EF1"/>
    <w:rsid w:val="004D2253"/>
    <w:rsid w:val="004D4406"/>
    <w:rsid w:val="004D4CD7"/>
    <w:rsid w:val="004D7C42"/>
    <w:rsid w:val="004D7C86"/>
    <w:rsid w:val="004E0465"/>
    <w:rsid w:val="004E127B"/>
    <w:rsid w:val="004E1C0A"/>
    <w:rsid w:val="004E30C5"/>
    <w:rsid w:val="004E4AA5"/>
    <w:rsid w:val="004E4AEE"/>
    <w:rsid w:val="004E59E3"/>
    <w:rsid w:val="004E67C0"/>
    <w:rsid w:val="004F391A"/>
    <w:rsid w:val="004F3CFB"/>
    <w:rsid w:val="004F592D"/>
    <w:rsid w:val="004F6456"/>
    <w:rsid w:val="004F696E"/>
    <w:rsid w:val="004F6C71"/>
    <w:rsid w:val="00500FEF"/>
    <w:rsid w:val="00501139"/>
    <w:rsid w:val="0050363E"/>
    <w:rsid w:val="005039BC"/>
    <w:rsid w:val="005043BB"/>
    <w:rsid w:val="00504A3D"/>
    <w:rsid w:val="00504DF7"/>
    <w:rsid w:val="00505767"/>
    <w:rsid w:val="005073F0"/>
    <w:rsid w:val="005075AE"/>
    <w:rsid w:val="00510A7B"/>
    <w:rsid w:val="0051265F"/>
    <w:rsid w:val="00512F6E"/>
    <w:rsid w:val="00513038"/>
    <w:rsid w:val="005140AD"/>
    <w:rsid w:val="00514174"/>
    <w:rsid w:val="0051561E"/>
    <w:rsid w:val="00516088"/>
    <w:rsid w:val="00516B0B"/>
    <w:rsid w:val="00517D97"/>
    <w:rsid w:val="005220EC"/>
    <w:rsid w:val="00523F95"/>
    <w:rsid w:val="00524D65"/>
    <w:rsid w:val="005253E3"/>
    <w:rsid w:val="00525B16"/>
    <w:rsid w:val="00533D04"/>
    <w:rsid w:val="00534804"/>
    <w:rsid w:val="00534BDF"/>
    <w:rsid w:val="005354EA"/>
    <w:rsid w:val="00535BB6"/>
    <w:rsid w:val="00535EC4"/>
    <w:rsid w:val="00535ED9"/>
    <w:rsid w:val="0053692B"/>
    <w:rsid w:val="00541853"/>
    <w:rsid w:val="00543BDA"/>
    <w:rsid w:val="005441CC"/>
    <w:rsid w:val="00544D41"/>
    <w:rsid w:val="005479DA"/>
    <w:rsid w:val="00547BCC"/>
    <w:rsid w:val="00550061"/>
    <w:rsid w:val="0055013B"/>
    <w:rsid w:val="00551F6F"/>
    <w:rsid w:val="00555044"/>
    <w:rsid w:val="005557DA"/>
    <w:rsid w:val="00561475"/>
    <w:rsid w:val="00564839"/>
    <w:rsid w:val="0056487B"/>
    <w:rsid w:val="00564FB9"/>
    <w:rsid w:val="00573D9E"/>
    <w:rsid w:val="005801E3"/>
    <w:rsid w:val="005807B4"/>
    <w:rsid w:val="00581802"/>
    <w:rsid w:val="005836A8"/>
    <w:rsid w:val="00584262"/>
    <w:rsid w:val="0058473A"/>
    <w:rsid w:val="00584EE5"/>
    <w:rsid w:val="00586630"/>
    <w:rsid w:val="00587ADD"/>
    <w:rsid w:val="00593B62"/>
    <w:rsid w:val="005947AA"/>
    <w:rsid w:val="00596160"/>
    <w:rsid w:val="005966E2"/>
    <w:rsid w:val="00597007"/>
    <w:rsid w:val="005A0966"/>
    <w:rsid w:val="005A11B7"/>
    <w:rsid w:val="005A260B"/>
    <w:rsid w:val="005A4A1B"/>
    <w:rsid w:val="005A7830"/>
    <w:rsid w:val="005A7FCE"/>
    <w:rsid w:val="005B0F3F"/>
    <w:rsid w:val="005B4903"/>
    <w:rsid w:val="005B51CE"/>
    <w:rsid w:val="005B587B"/>
    <w:rsid w:val="005B5885"/>
    <w:rsid w:val="005B5BBB"/>
    <w:rsid w:val="005B5CD7"/>
    <w:rsid w:val="005B6CF6"/>
    <w:rsid w:val="005B7422"/>
    <w:rsid w:val="005C29B8"/>
    <w:rsid w:val="005C5F21"/>
    <w:rsid w:val="005C7156"/>
    <w:rsid w:val="005C7B2B"/>
    <w:rsid w:val="005D0C75"/>
    <w:rsid w:val="005D4171"/>
    <w:rsid w:val="005D6A95"/>
    <w:rsid w:val="005D6B2C"/>
    <w:rsid w:val="005D6D9C"/>
    <w:rsid w:val="005E2335"/>
    <w:rsid w:val="005E34CA"/>
    <w:rsid w:val="005E3C18"/>
    <w:rsid w:val="005E4452"/>
    <w:rsid w:val="005E669A"/>
    <w:rsid w:val="005E7881"/>
    <w:rsid w:val="005E78E0"/>
    <w:rsid w:val="005F0D9C"/>
    <w:rsid w:val="005F2431"/>
    <w:rsid w:val="005F284E"/>
    <w:rsid w:val="006015CE"/>
    <w:rsid w:val="00604784"/>
    <w:rsid w:val="0060631F"/>
    <w:rsid w:val="00606419"/>
    <w:rsid w:val="00607AF7"/>
    <w:rsid w:val="00607D29"/>
    <w:rsid w:val="00607F6F"/>
    <w:rsid w:val="00612952"/>
    <w:rsid w:val="00614CC1"/>
    <w:rsid w:val="00615A9D"/>
    <w:rsid w:val="00617387"/>
    <w:rsid w:val="006252D8"/>
    <w:rsid w:val="006259BC"/>
    <w:rsid w:val="0062636B"/>
    <w:rsid w:val="00631765"/>
    <w:rsid w:val="00632182"/>
    <w:rsid w:val="00632AE0"/>
    <w:rsid w:val="00633459"/>
    <w:rsid w:val="00633C17"/>
    <w:rsid w:val="00636E3E"/>
    <w:rsid w:val="006379F7"/>
    <w:rsid w:val="00637E4D"/>
    <w:rsid w:val="00640620"/>
    <w:rsid w:val="00641A1F"/>
    <w:rsid w:val="00642E24"/>
    <w:rsid w:val="00643A7C"/>
    <w:rsid w:val="00645904"/>
    <w:rsid w:val="00651ACB"/>
    <w:rsid w:val="00651C47"/>
    <w:rsid w:val="00652AB2"/>
    <w:rsid w:val="00654EC0"/>
    <w:rsid w:val="00654F0C"/>
    <w:rsid w:val="0065525B"/>
    <w:rsid w:val="00655AA5"/>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20D"/>
    <w:rsid w:val="006850CD"/>
    <w:rsid w:val="00685AAB"/>
    <w:rsid w:val="0069528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E8C"/>
    <w:rsid w:val="006D16C4"/>
    <w:rsid w:val="006D293B"/>
    <w:rsid w:val="006D3E96"/>
    <w:rsid w:val="006D4515"/>
    <w:rsid w:val="006D4BB1"/>
    <w:rsid w:val="006D6593"/>
    <w:rsid w:val="006E5BFB"/>
    <w:rsid w:val="006F03A8"/>
    <w:rsid w:val="006F07C8"/>
    <w:rsid w:val="006F2ACA"/>
    <w:rsid w:val="006F2ADC"/>
    <w:rsid w:val="006F2BFE"/>
    <w:rsid w:val="006F31E9"/>
    <w:rsid w:val="006F3285"/>
    <w:rsid w:val="006F6284"/>
    <w:rsid w:val="007002C5"/>
    <w:rsid w:val="00704387"/>
    <w:rsid w:val="00706E1B"/>
    <w:rsid w:val="00707669"/>
    <w:rsid w:val="00710718"/>
    <w:rsid w:val="00711CBA"/>
    <w:rsid w:val="00711FB5"/>
    <w:rsid w:val="00712A01"/>
    <w:rsid w:val="00714748"/>
    <w:rsid w:val="00714F58"/>
    <w:rsid w:val="00722D21"/>
    <w:rsid w:val="00722FBF"/>
    <w:rsid w:val="00722FC2"/>
    <w:rsid w:val="00725949"/>
    <w:rsid w:val="00727FA2"/>
    <w:rsid w:val="007322D9"/>
    <w:rsid w:val="00732BC0"/>
    <w:rsid w:val="007330E3"/>
    <w:rsid w:val="00735796"/>
    <w:rsid w:val="00735BE4"/>
    <w:rsid w:val="0073720F"/>
    <w:rsid w:val="00737796"/>
    <w:rsid w:val="0074165C"/>
    <w:rsid w:val="007432CA"/>
    <w:rsid w:val="007439EB"/>
    <w:rsid w:val="00743CB4"/>
    <w:rsid w:val="00743F0A"/>
    <w:rsid w:val="007444E8"/>
    <w:rsid w:val="0074548E"/>
    <w:rsid w:val="00745773"/>
    <w:rsid w:val="00746800"/>
    <w:rsid w:val="007501A8"/>
    <w:rsid w:val="00750EE1"/>
    <w:rsid w:val="00752B4D"/>
    <w:rsid w:val="00753381"/>
    <w:rsid w:val="0075423F"/>
    <w:rsid w:val="00755402"/>
    <w:rsid w:val="00756B26"/>
    <w:rsid w:val="00756EDF"/>
    <w:rsid w:val="00765C43"/>
    <w:rsid w:val="00765EFB"/>
    <w:rsid w:val="007671CA"/>
    <w:rsid w:val="00767C61"/>
    <w:rsid w:val="00767E0C"/>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7FFA"/>
    <w:rsid w:val="007B04EB"/>
    <w:rsid w:val="007B0D4F"/>
    <w:rsid w:val="007B5A3D"/>
    <w:rsid w:val="007B5B95"/>
    <w:rsid w:val="007B68EA"/>
    <w:rsid w:val="007B6C80"/>
    <w:rsid w:val="007C2674"/>
    <w:rsid w:val="007C2D89"/>
    <w:rsid w:val="007C4593"/>
    <w:rsid w:val="007C5309"/>
    <w:rsid w:val="007C6069"/>
    <w:rsid w:val="007D06C4"/>
    <w:rsid w:val="007D0716"/>
    <w:rsid w:val="007D1352"/>
    <w:rsid w:val="007D2508"/>
    <w:rsid w:val="007D346A"/>
    <w:rsid w:val="007D58DC"/>
    <w:rsid w:val="007D6518"/>
    <w:rsid w:val="007D6DC9"/>
    <w:rsid w:val="007D76BD"/>
    <w:rsid w:val="007E0BF1"/>
    <w:rsid w:val="007E2885"/>
    <w:rsid w:val="007E45AE"/>
    <w:rsid w:val="007F0ED8"/>
    <w:rsid w:val="007F0F63"/>
    <w:rsid w:val="007F75CE"/>
    <w:rsid w:val="008013A4"/>
    <w:rsid w:val="00801BBA"/>
    <w:rsid w:val="008027CE"/>
    <w:rsid w:val="00802F42"/>
    <w:rsid w:val="008036D1"/>
    <w:rsid w:val="00804383"/>
    <w:rsid w:val="00804BB7"/>
    <w:rsid w:val="00807C98"/>
    <w:rsid w:val="00810257"/>
    <w:rsid w:val="008104F5"/>
    <w:rsid w:val="00811072"/>
    <w:rsid w:val="00811369"/>
    <w:rsid w:val="00811D04"/>
    <w:rsid w:val="00815419"/>
    <w:rsid w:val="008163C8"/>
    <w:rsid w:val="00817325"/>
    <w:rsid w:val="008209E6"/>
    <w:rsid w:val="00823303"/>
    <w:rsid w:val="008233B2"/>
    <w:rsid w:val="00823A9F"/>
    <w:rsid w:val="00823C85"/>
    <w:rsid w:val="00825138"/>
    <w:rsid w:val="008269DD"/>
    <w:rsid w:val="00830621"/>
    <w:rsid w:val="0083348C"/>
    <w:rsid w:val="0083623F"/>
    <w:rsid w:val="008373D3"/>
    <w:rsid w:val="00840617"/>
    <w:rsid w:val="00842A47"/>
    <w:rsid w:val="00843C13"/>
    <w:rsid w:val="008454F8"/>
    <w:rsid w:val="00845DFD"/>
    <w:rsid w:val="0085173A"/>
    <w:rsid w:val="00857723"/>
    <w:rsid w:val="008603CE"/>
    <w:rsid w:val="008620FC"/>
    <w:rsid w:val="008627A5"/>
    <w:rsid w:val="00863E05"/>
    <w:rsid w:val="00865ACA"/>
    <w:rsid w:val="00865D28"/>
    <w:rsid w:val="00865F85"/>
    <w:rsid w:val="00866E41"/>
    <w:rsid w:val="00867C10"/>
    <w:rsid w:val="00870439"/>
    <w:rsid w:val="00870DA1"/>
    <w:rsid w:val="008751BB"/>
    <w:rsid w:val="00876BC7"/>
    <w:rsid w:val="00876DFF"/>
    <w:rsid w:val="00883F93"/>
    <w:rsid w:val="00884704"/>
    <w:rsid w:val="00884DB3"/>
    <w:rsid w:val="00885A9D"/>
    <w:rsid w:val="008864F6"/>
    <w:rsid w:val="0089049D"/>
    <w:rsid w:val="008928C9"/>
    <w:rsid w:val="008938DC"/>
    <w:rsid w:val="00893FD1"/>
    <w:rsid w:val="00894836"/>
    <w:rsid w:val="00895172"/>
    <w:rsid w:val="00895680"/>
    <w:rsid w:val="00896DFF"/>
    <w:rsid w:val="0089762C"/>
    <w:rsid w:val="008A1893"/>
    <w:rsid w:val="008A3D72"/>
    <w:rsid w:val="008A3E33"/>
    <w:rsid w:val="008A769A"/>
    <w:rsid w:val="008B0C9C"/>
    <w:rsid w:val="008B166D"/>
    <w:rsid w:val="008B17F4"/>
    <w:rsid w:val="008B3615"/>
    <w:rsid w:val="008B4AC4"/>
    <w:rsid w:val="008B50C8"/>
    <w:rsid w:val="008B5281"/>
    <w:rsid w:val="008B53BC"/>
    <w:rsid w:val="008B5E71"/>
    <w:rsid w:val="008B7E05"/>
    <w:rsid w:val="008C1797"/>
    <w:rsid w:val="008C219C"/>
    <w:rsid w:val="008C475E"/>
    <w:rsid w:val="008C619A"/>
    <w:rsid w:val="008D0CE8"/>
    <w:rsid w:val="008D27A4"/>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027"/>
    <w:rsid w:val="008F0CDC"/>
    <w:rsid w:val="008F17A3"/>
    <w:rsid w:val="008F1ED3"/>
    <w:rsid w:val="008F4C29"/>
    <w:rsid w:val="008F69AD"/>
    <w:rsid w:val="008F70BD"/>
    <w:rsid w:val="008F788F"/>
    <w:rsid w:val="008F7EA2"/>
    <w:rsid w:val="00902722"/>
    <w:rsid w:val="009027BC"/>
    <w:rsid w:val="009062E6"/>
    <w:rsid w:val="00907AD4"/>
    <w:rsid w:val="00911B6A"/>
    <w:rsid w:val="00911BE5"/>
    <w:rsid w:val="00913CA9"/>
    <w:rsid w:val="009145AE"/>
    <w:rsid w:val="009146CE"/>
    <w:rsid w:val="00914CA7"/>
    <w:rsid w:val="0091521D"/>
    <w:rsid w:val="00915C3E"/>
    <w:rsid w:val="009161A8"/>
    <w:rsid w:val="009245F5"/>
    <w:rsid w:val="009249EC"/>
    <w:rsid w:val="009273B3"/>
    <w:rsid w:val="009305B5"/>
    <w:rsid w:val="00935F5E"/>
    <w:rsid w:val="009429D5"/>
    <w:rsid w:val="00942BF1"/>
    <w:rsid w:val="00945180"/>
    <w:rsid w:val="00945428"/>
    <w:rsid w:val="00945881"/>
    <w:rsid w:val="0094607B"/>
    <w:rsid w:val="00953604"/>
    <w:rsid w:val="00960AA1"/>
    <w:rsid w:val="009610DC"/>
    <w:rsid w:val="00961490"/>
    <w:rsid w:val="00963621"/>
    <w:rsid w:val="0096381A"/>
    <w:rsid w:val="00965462"/>
    <w:rsid w:val="00965E04"/>
    <w:rsid w:val="009674AD"/>
    <w:rsid w:val="009677F5"/>
    <w:rsid w:val="00970B1F"/>
    <w:rsid w:val="00970CDC"/>
    <w:rsid w:val="00972911"/>
    <w:rsid w:val="00975DA9"/>
    <w:rsid w:val="00977010"/>
    <w:rsid w:val="00977D02"/>
    <w:rsid w:val="009809BB"/>
    <w:rsid w:val="0098364B"/>
    <w:rsid w:val="00987F0B"/>
    <w:rsid w:val="00990949"/>
    <w:rsid w:val="00990A1C"/>
    <w:rsid w:val="009911AF"/>
    <w:rsid w:val="00991875"/>
    <w:rsid w:val="00991F92"/>
    <w:rsid w:val="00992985"/>
    <w:rsid w:val="00993889"/>
    <w:rsid w:val="0099551B"/>
    <w:rsid w:val="00997BF1"/>
    <w:rsid w:val="009A089C"/>
    <w:rsid w:val="009A118E"/>
    <w:rsid w:val="009A21CD"/>
    <w:rsid w:val="009A278C"/>
    <w:rsid w:val="009A2BC2"/>
    <w:rsid w:val="009A3E73"/>
    <w:rsid w:val="009A42C1"/>
    <w:rsid w:val="009A5429"/>
    <w:rsid w:val="009A72AD"/>
    <w:rsid w:val="009B09E0"/>
    <w:rsid w:val="009B0BC5"/>
    <w:rsid w:val="009B1247"/>
    <w:rsid w:val="009B6029"/>
    <w:rsid w:val="009B6971"/>
    <w:rsid w:val="009C0038"/>
    <w:rsid w:val="009C22AF"/>
    <w:rsid w:val="009C27F1"/>
    <w:rsid w:val="009C3152"/>
    <w:rsid w:val="009C4CFA"/>
    <w:rsid w:val="009C5070"/>
    <w:rsid w:val="009D112C"/>
    <w:rsid w:val="009D1B7A"/>
    <w:rsid w:val="009D22A6"/>
    <w:rsid w:val="009D47FA"/>
    <w:rsid w:val="009D50D2"/>
    <w:rsid w:val="009D6BCA"/>
    <w:rsid w:val="009E0F62"/>
    <w:rsid w:val="009E4A58"/>
    <w:rsid w:val="009E5A2D"/>
    <w:rsid w:val="009E5AB2"/>
    <w:rsid w:val="009E6219"/>
    <w:rsid w:val="009F03B3"/>
    <w:rsid w:val="009F2164"/>
    <w:rsid w:val="00A01757"/>
    <w:rsid w:val="00A028C0"/>
    <w:rsid w:val="00A02BAE"/>
    <w:rsid w:val="00A062C6"/>
    <w:rsid w:val="00A06A6B"/>
    <w:rsid w:val="00A07E47"/>
    <w:rsid w:val="00A129D0"/>
    <w:rsid w:val="00A12C33"/>
    <w:rsid w:val="00A138BA"/>
    <w:rsid w:val="00A13DF2"/>
    <w:rsid w:val="00A14C8E"/>
    <w:rsid w:val="00A153D9"/>
    <w:rsid w:val="00A1551D"/>
    <w:rsid w:val="00A15F09"/>
    <w:rsid w:val="00A169B6"/>
    <w:rsid w:val="00A2271D"/>
    <w:rsid w:val="00A237D5"/>
    <w:rsid w:val="00A30EFC"/>
    <w:rsid w:val="00A31984"/>
    <w:rsid w:val="00A32D73"/>
    <w:rsid w:val="00A3367B"/>
    <w:rsid w:val="00A3597D"/>
    <w:rsid w:val="00A40091"/>
    <w:rsid w:val="00A4030F"/>
    <w:rsid w:val="00A40E54"/>
    <w:rsid w:val="00A41C79"/>
    <w:rsid w:val="00A41CB5"/>
    <w:rsid w:val="00A42CDF"/>
    <w:rsid w:val="00A44123"/>
    <w:rsid w:val="00A4452E"/>
    <w:rsid w:val="00A4472C"/>
    <w:rsid w:val="00A44E69"/>
    <w:rsid w:val="00A4661E"/>
    <w:rsid w:val="00A5179F"/>
    <w:rsid w:val="00A55BD6"/>
    <w:rsid w:val="00A55D50"/>
    <w:rsid w:val="00A57142"/>
    <w:rsid w:val="00A60323"/>
    <w:rsid w:val="00A648CD"/>
    <w:rsid w:val="00A6537A"/>
    <w:rsid w:val="00A66ED2"/>
    <w:rsid w:val="00A67866"/>
    <w:rsid w:val="00A70B07"/>
    <w:rsid w:val="00A723F8"/>
    <w:rsid w:val="00A741C4"/>
    <w:rsid w:val="00A77CCB"/>
    <w:rsid w:val="00A83D8D"/>
    <w:rsid w:val="00A8446B"/>
    <w:rsid w:val="00A8473F"/>
    <w:rsid w:val="00A862D6"/>
    <w:rsid w:val="00A8715E"/>
    <w:rsid w:val="00A9295B"/>
    <w:rsid w:val="00A93B09"/>
    <w:rsid w:val="00A952D7"/>
    <w:rsid w:val="00A963F7"/>
    <w:rsid w:val="00A96AD8"/>
    <w:rsid w:val="00A97E67"/>
    <w:rsid w:val="00AA052C"/>
    <w:rsid w:val="00AA1E45"/>
    <w:rsid w:val="00AA4286"/>
    <w:rsid w:val="00AA456B"/>
    <w:rsid w:val="00AA57F5"/>
    <w:rsid w:val="00AA672E"/>
    <w:rsid w:val="00AA6EC9"/>
    <w:rsid w:val="00AB3087"/>
    <w:rsid w:val="00AB6309"/>
    <w:rsid w:val="00AB6C5F"/>
    <w:rsid w:val="00AB7129"/>
    <w:rsid w:val="00AC27A6"/>
    <w:rsid w:val="00AC30F7"/>
    <w:rsid w:val="00AC3A5A"/>
    <w:rsid w:val="00AC4D95"/>
    <w:rsid w:val="00AC5DF4"/>
    <w:rsid w:val="00AD0AEF"/>
    <w:rsid w:val="00AD11B7"/>
    <w:rsid w:val="00AD19C8"/>
    <w:rsid w:val="00AD1A94"/>
    <w:rsid w:val="00AD1C05"/>
    <w:rsid w:val="00AD4126"/>
    <w:rsid w:val="00AD421C"/>
    <w:rsid w:val="00AD44FA"/>
    <w:rsid w:val="00AE070A"/>
    <w:rsid w:val="00AE101C"/>
    <w:rsid w:val="00AE2085"/>
    <w:rsid w:val="00AE5EB4"/>
    <w:rsid w:val="00AF0C18"/>
    <w:rsid w:val="00AF11CB"/>
    <w:rsid w:val="00AF40DF"/>
    <w:rsid w:val="00AF47C5"/>
    <w:rsid w:val="00AF5398"/>
    <w:rsid w:val="00AF5A95"/>
    <w:rsid w:val="00B049AF"/>
    <w:rsid w:val="00B068CB"/>
    <w:rsid w:val="00B07242"/>
    <w:rsid w:val="00B10534"/>
    <w:rsid w:val="00B113DB"/>
    <w:rsid w:val="00B11D8A"/>
    <w:rsid w:val="00B12981"/>
    <w:rsid w:val="00B13CF1"/>
    <w:rsid w:val="00B147DD"/>
    <w:rsid w:val="00B156FD"/>
    <w:rsid w:val="00B2172B"/>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5EC"/>
    <w:rsid w:val="00B47293"/>
    <w:rsid w:val="00B50E50"/>
    <w:rsid w:val="00B52120"/>
    <w:rsid w:val="00B54ABC"/>
    <w:rsid w:val="00B56FBE"/>
    <w:rsid w:val="00B62B58"/>
    <w:rsid w:val="00B65149"/>
    <w:rsid w:val="00B66301"/>
    <w:rsid w:val="00B66567"/>
    <w:rsid w:val="00B66F52"/>
    <w:rsid w:val="00B66FE5"/>
    <w:rsid w:val="00B72880"/>
    <w:rsid w:val="00B758BF"/>
    <w:rsid w:val="00B827A6"/>
    <w:rsid w:val="00B831CE"/>
    <w:rsid w:val="00B86677"/>
    <w:rsid w:val="00B87131"/>
    <w:rsid w:val="00B90964"/>
    <w:rsid w:val="00B9395B"/>
    <w:rsid w:val="00B939B1"/>
    <w:rsid w:val="00B96D40"/>
    <w:rsid w:val="00B97386"/>
    <w:rsid w:val="00BA263B"/>
    <w:rsid w:val="00BA42B2"/>
    <w:rsid w:val="00BA58D4"/>
    <w:rsid w:val="00BA5B9E"/>
    <w:rsid w:val="00BA7C9A"/>
    <w:rsid w:val="00BA7D89"/>
    <w:rsid w:val="00BB0756"/>
    <w:rsid w:val="00BB1D75"/>
    <w:rsid w:val="00BB360C"/>
    <w:rsid w:val="00BB4C06"/>
    <w:rsid w:val="00BB5F8F"/>
    <w:rsid w:val="00BB657A"/>
    <w:rsid w:val="00BC1A4E"/>
    <w:rsid w:val="00BC5DC7"/>
    <w:rsid w:val="00BC6B8B"/>
    <w:rsid w:val="00BC73D8"/>
    <w:rsid w:val="00BD52D7"/>
    <w:rsid w:val="00BD5AD2"/>
    <w:rsid w:val="00BE22F3"/>
    <w:rsid w:val="00BE40A9"/>
    <w:rsid w:val="00BE5B52"/>
    <w:rsid w:val="00BE7B8D"/>
    <w:rsid w:val="00BF009A"/>
    <w:rsid w:val="00BF0993"/>
    <w:rsid w:val="00BF10A9"/>
    <w:rsid w:val="00BF1703"/>
    <w:rsid w:val="00BF231C"/>
    <w:rsid w:val="00BF51E5"/>
    <w:rsid w:val="00BF5F02"/>
    <w:rsid w:val="00BF74A6"/>
    <w:rsid w:val="00BF75DA"/>
    <w:rsid w:val="00C013AD"/>
    <w:rsid w:val="00C03874"/>
    <w:rsid w:val="00C04904"/>
    <w:rsid w:val="00C056B3"/>
    <w:rsid w:val="00C103E5"/>
    <w:rsid w:val="00C13319"/>
    <w:rsid w:val="00C13EE9"/>
    <w:rsid w:val="00C15D57"/>
    <w:rsid w:val="00C21540"/>
    <w:rsid w:val="00C21906"/>
    <w:rsid w:val="00C21BFA"/>
    <w:rsid w:val="00C24C8D"/>
    <w:rsid w:val="00C25FE2"/>
    <w:rsid w:val="00C26B53"/>
    <w:rsid w:val="00C275C7"/>
    <w:rsid w:val="00C279B2"/>
    <w:rsid w:val="00C33E50"/>
    <w:rsid w:val="00C34C20"/>
    <w:rsid w:val="00C35A3E"/>
    <w:rsid w:val="00C42130"/>
    <w:rsid w:val="00C423A4"/>
    <w:rsid w:val="00C42EE3"/>
    <w:rsid w:val="00C43EF0"/>
    <w:rsid w:val="00C44BF5"/>
    <w:rsid w:val="00C50B4A"/>
    <w:rsid w:val="00C55232"/>
    <w:rsid w:val="00C5526D"/>
    <w:rsid w:val="00C553A4"/>
    <w:rsid w:val="00C55A06"/>
    <w:rsid w:val="00C55D03"/>
    <w:rsid w:val="00C601BC"/>
    <w:rsid w:val="00C6329F"/>
    <w:rsid w:val="00C63340"/>
    <w:rsid w:val="00C63BB8"/>
    <w:rsid w:val="00C643F9"/>
    <w:rsid w:val="00C64E95"/>
    <w:rsid w:val="00C706CB"/>
    <w:rsid w:val="00C71372"/>
    <w:rsid w:val="00C72410"/>
    <w:rsid w:val="00C7287F"/>
    <w:rsid w:val="00C7700E"/>
    <w:rsid w:val="00C80CB8"/>
    <w:rsid w:val="00C818A2"/>
    <w:rsid w:val="00C819F8"/>
    <w:rsid w:val="00C8248C"/>
    <w:rsid w:val="00C84E33"/>
    <w:rsid w:val="00C86D6F"/>
    <w:rsid w:val="00C905FC"/>
    <w:rsid w:val="00C92D03"/>
    <w:rsid w:val="00C9319C"/>
    <w:rsid w:val="00C9435D"/>
    <w:rsid w:val="00C96741"/>
    <w:rsid w:val="00CA0993"/>
    <w:rsid w:val="00CA0BC7"/>
    <w:rsid w:val="00CA1192"/>
    <w:rsid w:val="00CA2D1B"/>
    <w:rsid w:val="00CA662A"/>
    <w:rsid w:val="00CA6E60"/>
    <w:rsid w:val="00CA7AFD"/>
    <w:rsid w:val="00CA7C3C"/>
    <w:rsid w:val="00CB0189"/>
    <w:rsid w:val="00CB0BA2"/>
    <w:rsid w:val="00CB1A42"/>
    <w:rsid w:val="00CB1B0C"/>
    <w:rsid w:val="00CB1EEA"/>
    <w:rsid w:val="00CB2C0B"/>
    <w:rsid w:val="00CB517D"/>
    <w:rsid w:val="00CC038D"/>
    <w:rsid w:val="00CC0486"/>
    <w:rsid w:val="00CC39FF"/>
    <w:rsid w:val="00CC3C2F"/>
    <w:rsid w:val="00CC42DB"/>
    <w:rsid w:val="00CC4AC8"/>
    <w:rsid w:val="00CC5233"/>
    <w:rsid w:val="00CC5DE6"/>
    <w:rsid w:val="00CC6E4E"/>
    <w:rsid w:val="00CC6FE8"/>
    <w:rsid w:val="00CC7202"/>
    <w:rsid w:val="00CD2808"/>
    <w:rsid w:val="00CD28BF"/>
    <w:rsid w:val="00CD4092"/>
    <w:rsid w:val="00CD4A20"/>
    <w:rsid w:val="00CD50A1"/>
    <w:rsid w:val="00CD519E"/>
    <w:rsid w:val="00CD64DB"/>
    <w:rsid w:val="00CE0C4F"/>
    <w:rsid w:val="00CE1DCA"/>
    <w:rsid w:val="00CE30EA"/>
    <w:rsid w:val="00CE5CF4"/>
    <w:rsid w:val="00CE61E9"/>
    <w:rsid w:val="00CE7ECB"/>
    <w:rsid w:val="00CF048A"/>
    <w:rsid w:val="00CF155A"/>
    <w:rsid w:val="00CF2947"/>
    <w:rsid w:val="00CF4995"/>
    <w:rsid w:val="00CF686F"/>
    <w:rsid w:val="00CF6E60"/>
    <w:rsid w:val="00CF7BCA"/>
    <w:rsid w:val="00D008FD"/>
    <w:rsid w:val="00D0321C"/>
    <w:rsid w:val="00D035EC"/>
    <w:rsid w:val="00D044C2"/>
    <w:rsid w:val="00D06AB1"/>
    <w:rsid w:val="00D072ED"/>
    <w:rsid w:val="00D07A16"/>
    <w:rsid w:val="00D1067E"/>
    <w:rsid w:val="00D10F50"/>
    <w:rsid w:val="00D11272"/>
    <w:rsid w:val="00D126F5"/>
    <w:rsid w:val="00D1489E"/>
    <w:rsid w:val="00D20737"/>
    <w:rsid w:val="00D20D7E"/>
    <w:rsid w:val="00D21304"/>
    <w:rsid w:val="00D21E81"/>
    <w:rsid w:val="00D223DE"/>
    <w:rsid w:val="00D25E37"/>
    <w:rsid w:val="00D2661A"/>
    <w:rsid w:val="00D2695D"/>
    <w:rsid w:val="00D27582"/>
    <w:rsid w:val="00D322AA"/>
    <w:rsid w:val="00D32719"/>
    <w:rsid w:val="00D33333"/>
    <w:rsid w:val="00D34F5A"/>
    <w:rsid w:val="00D352A2"/>
    <w:rsid w:val="00D4162B"/>
    <w:rsid w:val="00D433B5"/>
    <w:rsid w:val="00D43952"/>
    <w:rsid w:val="00D4514F"/>
    <w:rsid w:val="00D451E2"/>
    <w:rsid w:val="00D45E89"/>
    <w:rsid w:val="00D45E8D"/>
    <w:rsid w:val="00D4630A"/>
    <w:rsid w:val="00D466AE"/>
    <w:rsid w:val="00D4734F"/>
    <w:rsid w:val="00D51BF3"/>
    <w:rsid w:val="00D63F5F"/>
    <w:rsid w:val="00D66846"/>
    <w:rsid w:val="00D67312"/>
    <w:rsid w:val="00D675FB"/>
    <w:rsid w:val="00D67C1E"/>
    <w:rsid w:val="00D704D2"/>
    <w:rsid w:val="00D705BE"/>
    <w:rsid w:val="00D71F25"/>
    <w:rsid w:val="00D77031"/>
    <w:rsid w:val="00D84941"/>
    <w:rsid w:val="00D84FA1"/>
    <w:rsid w:val="00D851F0"/>
    <w:rsid w:val="00D8552A"/>
    <w:rsid w:val="00D86DB7"/>
    <w:rsid w:val="00D926D0"/>
    <w:rsid w:val="00D93030"/>
    <w:rsid w:val="00D950E1"/>
    <w:rsid w:val="00D952A6"/>
    <w:rsid w:val="00D97F99"/>
    <w:rsid w:val="00DA1E08"/>
    <w:rsid w:val="00DA24F8"/>
    <w:rsid w:val="00DA28E8"/>
    <w:rsid w:val="00DA38D3"/>
    <w:rsid w:val="00DA3932"/>
    <w:rsid w:val="00DA64F8"/>
    <w:rsid w:val="00DA6C15"/>
    <w:rsid w:val="00DB38EE"/>
    <w:rsid w:val="00DB4534"/>
    <w:rsid w:val="00DB498B"/>
    <w:rsid w:val="00DB66CA"/>
    <w:rsid w:val="00DB6BCA"/>
    <w:rsid w:val="00DC0321"/>
    <w:rsid w:val="00DC3067"/>
    <w:rsid w:val="00DC370B"/>
    <w:rsid w:val="00DC5B90"/>
    <w:rsid w:val="00DD00FF"/>
    <w:rsid w:val="00DD0619"/>
    <w:rsid w:val="00DD07FB"/>
    <w:rsid w:val="00DD25C6"/>
    <w:rsid w:val="00DD54B0"/>
    <w:rsid w:val="00DD57EE"/>
    <w:rsid w:val="00DD6BCC"/>
    <w:rsid w:val="00DE0A4B"/>
    <w:rsid w:val="00DE2410"/>
    <w:rsid w:val="00DE2939"/>
    <w:rsid w:val="00DE6E81"/>
    <w:rsid w:val="00DE703F"/>
    <w:rsid w:val="00DE7595"/>
    <w:rsid w:val="00DF1961"/>
    <w:rsid w:val="00DF2C92"/>
    <w:rsid w:val="00DF3F47"/>
    <w:rsid w:val="00DF44D1"/>
    <w:rsid w:val="00DF44DE"/>
    <w:rsid w:val="00DF6281"/>
    <w:rsid w:val="00DF7C17"/>
    <w:rsid w:val="00E001AA"/>
    <w:rsid w:val="00E01138"/>
    <w:rsid w:val="00E02DFB"/>
    <w:rsid w:val="00E030F9"/>
    <w:rsid w:val="00E0311A"/>
    <w:rsid w:val="00E03138"/>
    <w:rsid w:val="00E06404"/>
    <w:rsid w:val="00E076D6"/>
    <w:rsid w:val="00E11A85"/>
    <w:rsid w:val="00E12495"/>
    <w:rsid w:val="00E15CCD"/>
    <w:rsid w:val="00E202EF"/>
    <w:rsid w:val="00E210B5"/>
    <w:rsid w:val="00E2552F"/>
    <w:rsid w:val="00E25F55"/>
    <w:rsid w:val="00E3137A"/>
    <w:rsid w:val="00E32CCF"/>
    <w:rsid w:val="00E33B41"/>
    <w:rsid w:val="00E34A98"/>
    <w:rsid w:val="00E35D1E"/>
    <w:rsid w:val="00E364F9"/>
    <w:rsid w:val="00E365FA"/>
    <w:rsid w:val="00E40BB7"/>
    <w:rsid w:val="00E446AC"/>
    <w:rsid w:val="00E44A83"/>
    <w:rsid w:val="00E4732F"/>
    <w:rsid w:val="00E47ABE"/>
    <w:rsid w:val="00E502C1"/>
    <w:rsid w:val="00E502DD"/>
    <w:rsid w:val="00E50D3A"/>
    <w:rsid w:val="00E51387"/>
    <w:rsid w:val="00E51C91"/>
    <w:rsid w:val="00E51E68"/>
    <w:rsid w:val="00E52EFD"/>
    <w:rsid w:val="00E5408A"/>
    <w:rsid w:val="00E56800"/>
    <w:rsid w:val="00E611FB"/>
    <w:rsid w:val="00E61FB3"/>
    <w:rsid w:val="00E62854"/>
    <w:rsid w:val="00E62FF9"/>
    <w:rsid w:val="00E635D6"/>
    <w:rsid w:val="00E639BC"/>
    <w:rsid w:val="00E664CC"/>
    <w:rsid w:val="00E70388"/>
    <w:rsid w:val="00E70F92"/>
    <w:rsid w:val="00E74C54"/>
    <w:rsid w:val="00E7645B"/>
    <w:rsid w:val="00E77A03"/>
    <w:rsid w:val="00E822E8"/>
    <w:rsid w:val="00E82554"/>
    <w:rsid w:val="00E82606"/>
    <w:rsid w:val="00E846C8"/>
    <w:rsid w:val="00E84957"/>
    <w:rsid w:val="00E84A55"/>
    <w:rsid w:val="00E85BFF"/>
    <w:rsid w:val="00E90391"/>
    <w:rsid w:val="00E906C2"/>
    <w:rsid w:val="00E91BD1"/>
    <w:rsid w:val="00E9311F"/>
    <w:rsid w:val="00E934D1"/>
    <w:rsid w:val="00E94AF0"/>
    <w:rsid w:val="00E95D13"/>
    <w:rsid w:val="00E95DD3"/>
    <w:rsid w:val="00E969D5"/>
    <w:rsid w:val="00E972CF"/>
    <w:rsid w:val="00EA11BD"/>
    <w:rsid w:val="00EA58D1"/>
    <w:rsid w:val="00EA5D67"/>
    <w:rsid w:val="00EA61BC"/>
    <w:rsid w:val="00EA681A"/>
    <w:rsid w:val="00EA735B"/>
    <w:rsid w:val="00EB16DB"/>
    <w:rsid w:val="00EB1E69"/>
    <w:rsid w:val="00EB2086"/>
    <w:rsid w:val="00EB50C1"/>
    <w:rsid w:val="00EB5EDF"/>
    <w:rsid w:val="00EB60FE"/>
    <w:rsid w:val="00EB74DB"/>
    <w:rsid w:val="00EC072E"/>
    <w:rsid w:val="00EC4933"/>
    <w:rsid w:val="00EC5359"/>
    <w:rsid w:val="00EC562A"/>
    <w:rsid w:val="00ED067A"/>
    <w:rsid w:val="00ED14BE"/>
    <w:rsid w:val="00ED2B50"/>
    <w:rsid w:val="00ED3937"/>
    <w:rsid w:val="00ED3DA5"/>
    <w:rsid w:val="00ED45D9"/>
    <w:rsid w:val="00EE0350"/>
    <w:rsid w:val="00EE0719"/>
    <w:rsid w:val="00EE0E80"/>
    <w:rsid w:val="00EE613F"/>
    <w:rsid w:val="00EE7295"/>
    <w:rsid w:val="00EE7869"/>
    <w:rsid w:val="00EF054A"/>
    <w:rsid w:val="00EF3235"/>
    <w:rsid w:val="00EF4FBD"/>
    <w:rsid w:val="00EF7E72"/>
    <w:rsid w:val="00F06D37"/>
    <w:rsid w:val="00F07B9D"/>
    <w:rsid w:val="00F11586"/>
    <w:rsid w:val="00F1183B"/>
    <w:rsid w:val="00F11C9F"/>
    <w:rsid w:val="00F12263"/>
    <w:rsid w:val="00F1409D"/>
    <w:rsid w:val="00F14214"/>
    <w:rsid w:val="00F153C3"/>
    <w:rsid w:val="00F157A9"/>
    <w:rsid w:val="00F170CA"/>
    <w:rsid w:val="00F23913"/>
    <w:rsid w:val="00F2409E"/>
    <w:rsid w:val="00F25BB6"/>
    <w:rsid w:val="00F26B7E"/>
    <w:rsid w:val="00F27A3B"/>
    <w:rsid w:val="00F33817"/>
    <w:rsid w:val="00F3493D"/>
    <w:rsid w:val="00F34971"/>
    <w:rsid w:val="00F379FB"/>
    <w:rsid w:val="00F420D5"/>
    <w:rsid w:val="00F421EC"/>
    <w:rsid w:val="00F451EA"/>
    <w:rsid w:val="00F45447"/>
    <w:rsid w:val="00F456C6"/>
    <w:rsid w:val="00F4577B"/>
    <w:rsid w:val="00F46496"/>
    <w:rsid w:val="00F47209"/>
    <w:rsid w:val="00F474D0"/>
    <w:rsid w:val="00F50179"/>
    <w:rsid w:val="00F50F5D"/>
    <w:rsid w:val="00F54B0E"/>
    <w:rsid w:val="00F56511"/>
    <w:rsid w:val="00F6194E"/>
    <w:rsid w:val="00F623AC"/>
    <w:rsid w:val="00F6412A"/>
    <w:rsid w:val="00F65893"/>
    <w:rsid w:val="00F66A4A"/>
    <w:rsid w:val="00F71E22"/>
    <w:rsid w:val="00F72142"/>
    <w:rsid w:val="00F72AE7"/>
    <w:rsid w:val="00F81D95"/>
    <w:rsid w:val="00F8465F"/>
    <w:rsid w:val="00F84685"/>
    <w:rsid w:val="00F84FD0"/>
    <w:rsid w:val="00F85283"/>
    <w:rsid w:val="00F859A8"/>
    <w:rsid w:val="00F863FF"/>
    <w:rsid w:val="00F90064"/>
    <w:rsid w:val="00F9108B"/>
    <w:rsid w:val="00F91349"/>
    <w:rsid w:val="00F92879"/>
    <w:rsid w:val="00F93A8A"/>
    <w:rsid w:val="00F95248"/>
    <w:rsid w:val="00F956A9"/>
    <w:rsid w:val="00F963ED"/>
    <w:rsid w:val="00F9653D"/>
    <w:rsid w:val="00F966CF"/>
    <w:rsid w:val="00F96CAE"/>
    <w:rsid w:val="00F97C99"/>
    <w:rsid w:val="00FA662D"/>
    <w:rsid w:val="00FA73B1"/>
    <w:rsid w:val="00FB048F"/>
    <w:rsid w:val="00FB0CB9"/>
    <w:rsid w:val="00FB38C7"/>
    <w:rsid w:val="00FB45F1"/>
    <w:rsid w:val="00FB4A72"/>
    <w:rsid w:val="00FB54E8"/>
    <w:rsid w:val="00FB7054"/>
    <w:rsid w:val="00FC03AD"/>
    <w:rsid w:val="00FC17B7"/>
    <w:rsid w:val="00FC2CB7"/>
    <w:rsid w:val="00FC4090"/>
    <w:rsid w:val="00FC5191"/>
    <w:rsid w:val="00FC55B4"/>
    <w:rsid w:val="00FD00E6"/>
    <w:rsid w:val="00FD09A1"/>
    <w:rsid w:val="00FD09CC"/>
    <w:rsid w:val="00FD2A7C"/>
    <w:rsid w:val="00FD59EB"/>
    <w:rsid w:val="00FD7299"/>
    <w:rsid w:val="00FE1FBE"/>
    <w:rsid w:val="00FE318F"/>
    <w:rsid w:val="00FE3901"/>
    <w:rsid w:val="00FE4BCE"/>
    <w:rsid w:val="00FE54AE"/>
    <w:rsid w:val="00FE576A"/>
    <w:rsid w:val="00FE7E79"/>
    <w:rsid w:val="00FF3E7D"/>
    <w:rsid w:val="00FF5B99"/>
    <w:rsid w:val="00FF730C"/>
    <w:rsid w:val="00FF73F4"/>
    <w:rsid w:val="00FF7B5D"/>
    <w:rsid w:val="00FF7CE4"/>
    <w:rsid w:val="00FF7E39"/>
    <w:rsid w:val="028A0441"/>
    <w:rsid w:val="02AF71FC"/>
    <w:rsid w:val="03AA2E1C"/>
    <w:rsid w:val="03E2021C"/>
    <w:rsid w:val="04C410F4"/>
    <w:rsid w:val="04D10646"/>
    <w:rsid w:val="06D1164A"/>
    <w:rsid w:val="070E5AAE"/>
    <w:rsid w:val="081E7C8B"/>
    <w:rsid w:val="082C5DA2"/>
    <w:rsid w:val="09253DBC"/>
    <w:rsid w:val="09DF09FE"/>
    <w:rsid w:val="0C220345"/>
    <w:rsid w:val="0DA3692D"/>
    <w:rsid w:val="0F901881"/>
    <w:rsid w:val="100A2D5E"/>
    <w:rsid w:val="10C34956"/>
    <w:rsid w:val="12AA30B2"/>
    <w:rsid w:val="135D5612"/>
    <w:rsid w:val="14FF23C9"/>
    <w:rsid w:val="15597637"/>
    <w:rsid w:val="15864BF7"/>
    <w:rsid w:val="15F924EF"/>
    <w:rsid w:val="16657DF2"/>
    <w:rsid w:val="180C3563"/>
    <w:rsid w:val="18D97890"/>
    <w:rsid w:val="19224866"/>
    <w:rsid w:val="1B954CDB"/>
    <w:rsid w:val="1BFE4A94"/>
    <w:rsid w:val="1C913CC4"/>
    <w:rsid w:val="1CD24370"/>
    <w:rsid w:val="1DE343C5"/>
    <w:rsid w:val="205F0ADF"/>
    <w:rsid w:val="211F34E2"/>
    <w:rsid w:val="215D400B"/>
    <w:rsid w:val="24711223"/>
    <w:rsid w:val="249D521F"/>
    <w:rsid w:val="2571581A"/>
    <w:rsid w:val="261D0995"/>
    <w:rsid w:val="26AB59FF"/>
    <w:rsid w:val="274C2C9A"/>
    <w:rsid w:val="27904839"/>
    <w:rsid w:val="27A343BA"/>
    <w:rsid w:val="2A4F6071"/>
    <w:rsid w:val="2A5A518D"/>
    <w:rsid w:val="2AB759F9"/>
    <w:rsid w:val="2D1C121E"/>
    <w:rsid w:val="2D7E1039"/>
    <w:rsid w:val="2DC102FA"/>
    <w:rsid w:val="2F81180C"/>
    <w:rsid w:val="30333024"/>
    <w:rsid w:val="31106A96"/>
    <w:rsid w:val="31E527ED"/>
    <w:rsid w:val="32A53353"/>
    <w:rsid w:val="34BF2842"/>
    <w:rsid w:val="35BD51BF"/>
    <w:rsid w:val="36AF43DD"/>
    <w:rsid w:val="36B24D5D"/>
    <w:rsid w:val="38393E83"/>
    <w:rsid w:val="38CF0D23"/>
    <w:rsid w:val="3C7D61FD"/>
    <w:rsid w:val="3E42537F"/>
    <w:rsid w:val="3E4439DD"/>
    <w:rsid w:val="3FD76CD2"/>
    <w:rsid w:val="410F41F2"/>
    <w:rsid w:val="42A9041D"/>
    <w:rsid w:val="44FB3157"/>
    <w:rsid w:val="4545159A"/>
    <w:rsid w:val="45E64034"/>
    <w:rsid w:val="46347950"/>
    <w:rsid w:val="48DF33D4"/>
    <w:rsid w:val="499053C9"/>
    <w:rsid w:val="4A6260CE"/>
    <w:rsid w:val="4AB22BD6"/>
    <w:rsid w:val="4ABD6D0A"/>
    <w:rsid w:val="4B3F3B18"/>
    <w:rsid w:val="4D3977BB"/>
    <w:rsid w:val="4D620AC8"/>
    <w:rsid w:val="4D6D36A4"/>
    <w:rsid w:val="4D763C76"/>
    <w:rsid w:val="4D9C624B"/>
    <w:rsid w:val="4E3A4756"/>
    <w:rsid w:val="4E6F32E9"/>
    <w:rsid w:val="4FBE077C"/>
    <w:rsid w:val="505E396A"/>
    <w:rsid w:val="50702964"/>
    <w:rsid w:val="51E90942"/>
    <w:rsid w:val="52A55FBB"/>
    <w:rsid w:val="52EB476D"/>
    <w:rsid w:val="53912C05"/>
    <w:rsid w:val="53EA5253"/>
    <w:rsid w:val="56A35797"/>
    <w:rsid w:val="56EE28AB"/>
    <w:rsid w:val="595D5E43"/>
    <w:rsid w:val="5A8C0EE1"/>
    <w:rsid w:val="5AC56DE6"/>
    <w:rsid w:val="5AD20FEA"/>
    <w:rsid w:val="5B0A4F8D"/>
    <w:rsid w:val="5C1473E0"/>
    <w:rsid w:val="5CC12C90"/>
    <w:rsid w:val="5D9E49DC"/>
    <w:rsid w:val="5F232C62"/>
    <w:rsid w:val="60E43825"/>
    <w:rsid w:val="617D1745"/>
    <w:rsid w:val="62061579"/>
    <w:rsid w:val="622C6E4E"/>
    <w:rsid w:val="629B069D"/>
    <w:rsid w:val="62C76F5B"/>
    <w:rsid w:val="63377B4C"/>
    <w:rsid w:val="648E32AE"/>
    <w:rsid w:val="6492006E"/>
    <w:rsid w:val="6502427A"/>
    <w:rsid w:val="651D10B4"/>
    <w:rsid w:val="66373E26"/>
    <w:rsid w:val="664D45E3"/>
    <w:rsid w:val="666F6CF9"/>
    <w:rsid w:val="66730236"/>
    <w:rsid w:val="66EC6F90"/>
    <w:rsid w:val="674522B1"/>
    <w:rsid w:val="67A55390"/>
    <w:rsid w:val="68FA424E"/>
    <w:rsid w:val="695A2017"/>
    <w:rsid w:val="6A2C65CB"/>
    <w:rsid w:val="6B4E5570"/>
    <w:rsid w:val="6C9C63BE"/>
    <w:rsid w:val="6DBF603E"/>
    <w:rsid w:val="6F513CB1"/>
    <w:rsid w:val="6F7C10CD"/>
    <w:rsid w:val="702216CD"/>
    <w:rsid w:val="70881F5C"/>
    <w:rsid w:val="71704D4B"/>
    <w:rsid w:val="72A50E51"/>
    <w:rsid w:val="737B4C0E"/>
    <w:rsid w:val="76B2765F"/>
    <w:rsid w:val="7BB620CB"/>
    <w:rsid w:val="7C433AD6"/>
    <w:rsid w:val="7C487815"/>
    <w:rsid w:val="7C9F4C28"/>
    <w:rsid w:val="7E066731"/>
    <w:rsid w:val="7E8B0B62"/>
    <w:rsid w:val="7F5C42F5"/>
    <w:rsid w:val="7F895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semiHidden="0"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caption"/>
    <w:basedOn w:val="1"/>
    <w:next w:val="1"/>
    <w:unhideWhenUsed/>
    <w:qFormat/>
    <w:uiPriority w:val="35"/>
    <w:rPr>
      <w:rFonts w:eastAsia="黑体" w:asciiTheme="majorHAnsi" w:hAnsiTheme="majorHAnsi" w:cstheme="majorBidi"/>
      <w:sz w:val="20"/>
      <w:szCs w:val="20"/>
    </w:rPr>
  </w:style>
  <w:style w:type="paragraph" w:styleId="14">
    <w:name w:val="Body Text"/>
    <w:basedOn w:val="1"/>
    <w:link w:val="87"/>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pPr>
      <w:tabs>
        <w:tab w:val="right" w:leader="dot" w:pos="9344"/>
      </w:tabs>
      <w:jc w:val="left"/>
    </w:pPr>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9"/>
    <w:qFormat/>
    <w:uiPriority w:val="99"/>
    <w:rPr>
      <w:kern w:val="2"/>
      <w:sz w:val="18"/>
      <w:szCs w:val="18"/>
    </w:rPr>
  </w:style>
  <w:style w:type="character" w:customStyle="1" w:styleId="45">
    <w:name w:val="页脚 字符"/>
    <w:link w:val="18"/>
    <w:qFormat/>
    <w:uiPriority w:val="99"/>
    <w:rPr>
      <w:rFonts w:ascii="宋体"/>
      <w:kern w:val="2"/>
      <w:sz w:val="18"/>
      <w:szCs w:val="18"/>
    </w:rPr>
  </w:style>
  <w:style w:type="character" w:customStyle="1" w:styleId="46">
    <w:name w:val="批注框文本 字符"/>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qFormat/>
    <w:uiPriority w:val="0"/>
    <w:rPr>
      <w:rFonts w:ascii="宋体" w:hAnsi="Times New Roman"/>
      <w:sz w:val="21"/>
    </w:rPr>
  </w:style>
  <w:style w:type="paragraph" w:customStyle="1" w:styleId="232">
    <w:name w:val="一级条标题"/>
    <w:basedOn w:val="106"/>
    <w:next w:val="230"/>
    <w:link w:val="236"/>
    <w:qFormat/>
    <w:uiPriority w:val="0"/>
    <w:pPr>
      <w:numPr>
        <w:ilvl w:val="1"/>
        <w:numId w:val="32"/>
      </w:numPr>
      <w:spacing w:before="0" w:after="0"/>
      <w:ind w:left="2411"/>
      <w:outlineLvl w:val="2"/>
    </w:pPr>
    <w:rPr>
      <w:szCs w:val="21"/>
    </w:rPr>
  </w:style>
  <w:style w:type="paragraph" w:customStyle="1" w:styleId="233">
    <w:name w:val="章标题"/>
    <w:next w:val="230"/>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4">
    <w:name w:val="四级条标题"/>
    <w:basedOn w:val="1"/>
    <w:next w:val="230"/>
    <w:qFormat/>
    <w:uiPriority w:val="0"/>
    <w:pPr>
      <w:numPr>
        <w:ilvl w:val="4"/>
        <w:numId w:val="32"/>
      </w:numPr>
      <w:adjustRightInd/>
      <w:spacing w:before="50" w:beforeLines="50" w:after="50" w:afterLines="50" w:line="240" w:lineRule="auto"/>
      <w:outlineLvl w:val="5"/>
    </w:pPr>
    <w:rPr>
      <w:rFonts w:ascii="黑体" w:hAnsi="Times New Roman" w:eastAsia="黑体"/>
      <w:kern w:val="0"/>
      <w:szCs w:val="20"/>
    </w:rPr>
  </w:style>
  <w:style w:type="paragraph" w:customStyle="1" w:styleId="235">
    <w:name w:val="五级条标题"/>
    <w:basedOn w:val="234"/>
    <w:next w:val="230"/>
    <w:qFormat/>
    <w:uiPriority w:val="0"/>
    <w:pPr>
      <w:numPr>
        <w:ilvl w:val="5"/>
      </w:numPr>
      <w:outlineLvl w:val="6"/>
    </w:pPr>
  </w:style>
  <w:style w:type="character" w:customStyle="1" w:styleId="236">
    <w:name w:val="一级条标题 Char"/>
    <w:link w:val="232"/>
    <w:qFormat/>
    <w:uiPriority w:val="0"/>
    <w:rPr>
      <w:rFonts w:ascii="黑体" w:hAnsi="Times New Roman" w:eastAsia="黑体"/>
      <w:sz w:val="21"/>
      <w:szCs w:val="21"/>
    </w:rPr>
  </w:style>
  <w:style w:type="paragraph" w:customStyle="1" w:styleId="237">
    <w:name w:val="二级条标题"/>
    <w:basedOn w:val="66"/>
    <w:next w:val="230"/>
    <w:qFormat/>
    <w:uiPriority w:val="0"/>
    <w:pPr>
      <w:numPr>
        <w:ilvl w:val="0"/>
        <w:numId w:val="0"/>
      </w:numPr>
      <w:ind w:left="568"/>
      <w:outlineLvl w:val="3"/>
    </w:pPr>
  </w:style>
  <w:style w:type="paragraph" w:customStyle="1" w:styleId="238">
    <w:name w:val="正文表标题"/>
    <w:next w:val="230"/>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39">
    <w:name w:val="数字编号列项（二级）"/>
    <w:qFormat/>
    <w:uiPriority w:val="0"/>
    <w:pPr>
      <w:tabs>
        <w:tab w:val="left" w:pos="1260"/>
      </w:tabs>
      <w:ind w:left="1259" w:hanging="419"/>
      <w:jc w:val="both"/>
    </w:pPr>
    <w:rPr>
      <w:rFonts w:ascii="宋体" w:hAnsi="Times New Roman" w:eastAsia="宋体" w:cs="Times New Roman"/>
      <w:sz w:val="21"/>
      <w:lang w:val="en-US" w:eastAsia="zh-CN" w:bidi="ar-SA"/>
    </w:rPr>
  </w:style>
  <w:style w:type="paragraph" w:customStyle="1" w:styleId="240">
    <w:name w:val="字母编号列项（一级）"/>
    <w:qFormat/>
    <w:uiPriority w:val="0"/>
    <w:pPr>
      <w:tabs>
        <w:tab w:val="left" w:pos="840"/>
      </w:tabs>
      <w:ind w:left="839" w:hanging="419"/>
      <w:jc w:val="both"/>
    </w:pPr>
    <w:rPr>
      <w:rFonts w:ascii="宋体" w:hAnsi="Times New Roman" w:eastAsia="宋体" w:cs="Times New Roman"/>
      <w:sz w:val="21"/>
      <w:lang w:val="en-US" w:eastAsia="zh-CN" w:bidi="ar-SA"/>
    </w:rPr>
  </w:style>
  <w:style w:type="paragraph" w:customStyle="1" w:styleId="241">
    <w:name w:val="正文公式1"/>
    <w:basedOn w:val="230"/>
    <w:next w:val="230"/>
    <w:autoRedefine/>
    <w:qFormat/>
    <w:uiPriority w:val="0"/>
    <w:pPr>
      <w:widowControl w:val="0"/>
      <w:tabs>
        <w:tab w:val="right" w:leader="dot" w:pos="9030"/>
      </w:tabs>
      <w:autoSpaceDE/>
      <w:autoSpaceDN/>
      <w:adjustRightInd w:val="0"/>
      <w:spacing w:before="240" w:beforeLines="100" w:after="240" w:afterLines="100"/>
      <w:ind w:firstLine="0" w:firstLineChars="0"/>
      <w:jc w:val="right"/>
    </w:pPr>
    <w:rPr>
      <w:rFonts w:ascii="Times New Roman" w:cs="Calibri"/>
      <w:kern w:val="2"/>
      <w:szCs w:val="21"/>
    </w:rPr>
  </w:style>
  <w:style w:type="table" w:customStyle="1" w:styleId="242">
    <w:name w:val="Table Normal"/>
    <w:semiHidden/>
    <w:unhideWhenUsed/>
    <w:qFormat/>
    <w:uiPriority w:val="0"/>
    <w:rPr>
      <w:rFonts w:asciiTheme="minorHAnsi" w:hAnsiTheme="minorHAnsi" w:eastAsiaTheme="minorEastAsia" w:cstheme="minorBidi"/>
    </w:rPr>
    <w:tblPr>
      <w:tblCellMar>
        <w:top w:w="0" w:type="dxa"/>
        <w:left w:w="0" w:type="dxa"/>
        <w:bottom w:w="0" w:type="dxa"/>
        <w:right w:w="0" w:type="dxa"/>
      </w:tblCellMar>
    </w:tblPr>
  </w:style>
  <w:style w:type="paragraph" w:customStyle="1" w:styleId="243">
    <w:name w:val="注×：（正文）"/>
    <w:qFormat/>
    <w:uiPriority w:val="0"/>
    <w:pPr>
      <w:numPr>
        <w:ilvl w:val="0"/>
        <w:numId w:val="33"/>
      </w:numPr>
      <w:jc w:val="both"/>
    </w:pPr>
    <w:rPr>
      <w:rFonts w:ascii="宋体" w:hAnsi="Times New Roman" w:eastAsia="宋体" w:cs="Times New Roman"/>
      <w:sz w:val="18"/>
      <w:szCs w:val="18"/>
      <w:lang w:val="en-US" w:eastAsia="zh-CN" w:bidi="ar-SA"/>
    </w:rPr>
  </w:style>
  <w:style w:type="paragraph" w:customStyle="1" w:styleId="244">
    <w:name w:val="Table Text"/>
    <w:basedOn w:val="1"/>
    <w:semiHidden/>
    <w:qFormat/>
    <w:uiPriority w:val="0"/>
    <w:pPr>
      <w:adjustRightInd/>
      <w:spacing w:line="240" w:lineRule="auto"/>
    </w:pPr>
    <w:rPr>
      <w:rFonts w:ascii="微软雅黑" w:hAnsi="微软雅黑" w:eastAsia="微软雅黑" w:cs="微软雅黑"/>
      <w:sz w:val="34"/>
      <w:szCs w:val="34"/>
      <w:lang w:eastAsia="en-US"/>
    </w:rPr>
  </w:style>
  <w:style w:type="paragraph" w:customStyle="1" w:styleId="245">
    <w:name w:val="修订1"/>
    <w:hidden/>
    <w:semiHidden/>
    <w:qFormat/>
    <w:uiPriority w:val="99"/>
    <w:rPr>
      <w:rFonts w:ascii="Calibri" w:hAnsi="Calibri" w:eastAsia="宋体" w:cs="Times New Roman"/>
      <w:kern w:val="2"/>
      <w:sz w:val="21"/>
      <w:szCs w:val="21"/>
      <w:lang w:val="en-US" w:eastAsia="zh-CN" w:bidi="ar-SA"/>
    </w:rPr>
  </w:style>
  <w:style w:type="paragraph" w:customStyle="1" w:styleId="246">
    <w:name w:val="字母列项"/>
    <w:basedOn w:val="247"/>
    <w:next w:val="230"/>
    <w:qFormat/>
    <w:uiPriority w:val="0"/>
    <w:pPr>
      <w:numPr>
        <w:ilvl w:val="0"/>
        <w:numId w:val="34"/>
      </w:numPr>
      <w:adjustRightInd/>
      <w:spacing w:line="240" w:lineRule="auto"/>
      <w:ind w:left="777" w:hanging="357" w:firstLineChars="0"/>
      <w:jc w:val="left"/>
    </w:pPr>
    <w:rPr>
      <w:rFonts w:ascii="Times New Roman" w:hAnsi="Times New Roman" w:cs="宋体"/>
      <w:kern w:val="0"/>
    </w:rPr>
  </w:style>
  <w:style w:type="paragraph" w:styleId="247">
    <w:name w:val="List Paragraph"/>
    <w:basedOn w:val="1"/>
    <w:semiHidden/>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4.jpeg"/><Relationship Id="rId15" Type="http://schemas.openxmlformats.org/officeDocument/2006/relationships/image" Target="media/image3.png"/><Relationship Id="rId14" Type="http://schemas.openxmlformats.org/officeDocument/2006/relationships/image" Target="media/image2.tiff"/><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6631;&#20934;&#21270;&#25351;&#23548;&#24615;&#25216;&#26415;&#25991;&#2021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E82585A891149ECBD6DFEB0DAB3EE93"/>
        <w:style w:val=""/>
        <w:category>
          <w:name w:val="常规"/>
          <w:gallery w:val="placeholder"/>
        </w:category>
        <w:types>
          <w:type w:val="bbPlcHdr"/>
        </w:types>
        <w:behaviors>
          <w:behavior w:val="content"/>
        </w:behaviors>
        <w:description w:val=""/>
        <w:guid w:val="{810E5B88-0304-4F55-9A9B-D00CD093823E}"/>
      </w:docPartPr>
      <w:docPartBody>
        <w:p w14:paraId="0D756335">
          <w:pPr>
            <w:pStyle w:val="5"/>
            <w:rPr>
              <w:rFonts w:hint="eastAsia"/>
            </w:rPr>
          </w:pPr>
          <w:r>
            <w:rPr>
              <w:rStyle w:val="4"/>
              <w:rFonts w:hint="eastAsia"/>
            </w:rPr>
            <w:t>单击或点击此处输入文字。</w:t>
          </w:r>
        </w:p>
      </w:docPartBody>
    </w:docPart>
    <w:docPart>
      <w:docPartPr>
        <w:name w:val="5D3B471FD7614EB5ACEF0BDDAF392F1E"/>
        <w:style w:val=""/>
        <w:category>
          <w:name w:val="常规"/>
          <w:gallery w:val="placeholder"/>
        </w:category>
        <w:types>
          <w:type w:val="bbPlcHdr"/>
        </w:types>
        <w:behaviors>
          <w:behavior w:val="content"/>
        </w:behaviors>
        <w:description w:val=""/>
        <w:guid w:val="{E12B50B2-0F3E-4DDA-AC3F-2AD3F891812C}"/>
      </w:docPartPr>
      <w:docPartBody>
        <w:p w14:paraId="2D9380E5">
          <w:pPr>
            <w:pStyle w:val="6"/>
            <w:rPr>
              <w:rFonts w:hint="eastAsia"/>
            </w:rPr>
          </w:pPr>
          <w:r>
            <w:rPr>
              <w:rStyle w:val="4"/>
              <w:rFonts w:hint="eastAsia"/>
            </w:rPr>
            <w:t>选择一项。</w:t>
          </w:r>
        </w:p>
      </w:docPartBody>
    </w:docPart>
    <w:docPart>
      <w:docPartPr>
        <w:name w:val="C6BF9765C2A0476BBFDDB58D58F7C88A"/>
        <w:style w:val=""/>
        <w:category>
          <w:name w:val="常规"/>
          <w:gallery w:val="placeholder"/>
        </w:category>
        <w:types>
          <w:type w:val="bbPlcHdr"/>
        </w:types>
        <w:behaviors>
          <w:behavior w:val="content"/>
        </w:behaviors>
        <w:description w:val=""/>
        <w:guid w:val="{3168B901-EF7F-4C9C-AE36-098D024930F2}"/>
      </w:docPartPr>
      <w:docPartBody>
        <w:p w14:paraId="651CA5E9">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2B4"/>
    <w:rsid w:val="000045EB"/>
    <w:rsid w:val="0002433B"/>
    <w:rsid w:val="000B3719"/>
    <w:rsid w:val="0011472D"/>
    <w:rsid w:val="001305D6"/>
    <w:rsid w:val="0013267A"/>
    <w:rsid w:val="0014167E"/>
    <w:rsid w:val="0015427E"/>
    <w:rsid w:val="00162F44"/>
    <w:rsid w:val="00207A91"/>
    <w:rsid w:val="00230E89"/>
    <w:rsid w:val="00270247"/>
    <w:rsid w:val="002F2A58"/>
    <w:rsid w:val="00306605"/>
    <w:rsid w:val="003438B1"/>
    <w:rsid w:val="00353495"/>
    <w:rsid w:val="003E09A1"/>
    <w:rsid w:val="004036E2"/>
    <w:rsid w:val="00493D7F"/>
    <w:rsid w:val="004F4D61"/>
    <w:rsid w:val="00550061"/>
    <w:rsid w:val="005712B4"/>
    <w:rsid w:val="0064693B"/>
    <w:rsid w:val="00651C85"/>
    <w:rsid w:val="006638DF"/>
    <w:rsid w:val="0070563E"/>
    <w:rsid w:val="00722D21"/>
    <w:rsid w:val="00735BE4"/>
    <w:rsid w:val="00753381"/>
    <w:rsid w:val="007B2814"/>
    <w:rsid w:val="00813438"/>
    <w:rsid w:val="00845DFD"/>
    <w:rsid w:val="008767A9"/>
    <w:rsid w:val="008D5ABD"/>
    <w:rsid w:val="008D6507"/>
    <w:rsid w:val="00946899"/>
    <w:rsid w:val="009731F0"/>
    <w:rsid w:val="00AA002E"/>
    <w:rsid w:val="00AF0C00"/>
    <w:rsid w:val="00B542E2"/>
    <w:rsid w:val="00BA380F"/>
    <w:rsid w:val="00BE10B7"/>
    <w:rsid w:val="00C706CB"/>
    <w:rsid w:val="00C911A3"/>
    <w:rsid w:val="00CE05C2"/>
    <w:rsid w:val="00D044C2"/>
    <w:rsid w:val="00D4630A"/>
    <w:rsid w:val="00D57B94"/>
    <w:rsid w:val="00D705BE"/>
    <w:rsid w:val="00DA0528"/>
    <w:rsid w:val="00DA2B9C"/>
    <w:rsid w:val="00DA4B4F"/>
    <w:rsid w:val="00E40C9B"/>
    <w:rsid w:val="00E902F3"/>
    <w:rsid w:val="00EA11BD"/>
    <w:rsid w:val="00EC4404"/>
    <w:rsid w:val="00ED7CF0"/>
    <w:rsid w:val="00EE0B34"/>
    <w:rsid w:val="00EE12D3"/>
    <w:rsid w:val="00F323A1"/>
    <w:rsid w:val="00F44290"/>
    <w:rsid w:val="00F714E4"/>
    <w:rsid w:val="00F90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E82585A891149ECBD6DFEB0DAB3EE93"/>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5D3B471FD7614EB5ACEF0BDDAF392F1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C6BF9765C2A0476BBFDDB58D58F7C88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F3DB4C-1983-4DD4-8E42-A7ADAB20DE0E}">
  <ds:schemaRefs/>
</ds:datastoreItem>
</file>

<file path=docProps/app.xml><?xml version="1.0" encoding="utf-8"?>
<Properties xmlns="http://schemas.openxmlformats.org/officeDocument/2006/extended-properties" xmlns:vt="http://schemas.openxmlformats.org/officeDocument/2006/docPropsVTypes">
  <Template>标准化指导性技术文件</Template>
  <Company>PCMI</Company>
  <Pages>11</Pages>
  <Words>2941</Words>
  <Characters>3245</Characters>
  <Lines>220</Lines>
  <Paragraphs>279</Paragraphs>
  <TotalTime>23</TotalTime>
  <ScaleCrop>false</ScaleCrop>
  <LinksUpToDate>false</LinksUpToDate>
  <CharactersWithSpaces>3313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2026-02-05T02:01:00Z</dcterms:created>
  <dc:creator>Natty</dc:creator>
  <dc:description>&lt;config cover="true" show_menu="true" version="1.0.0" doctype="SDKXY"&gt;_x000d_
&lt;/config&gt;</dc:description>
  <cp:lastModifiedBy>李海漪</cp:lastModifiedBy>
  <cp:lastPrinted>2021-02-02T07:39:00Z</cp:lastPrinted>
  <dcterms:modified xsi:type="dcterms:W3CDTF">2026-03-13T09:16:13Z</dcterms:modified>
  <dc:title>标准化指导性技术文件</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标准化指导性技术文件</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eyJoZGlkIjoiNWViNWJiYWIwNTQzOTBkYmNhYzgzODJiOWYzNTdlN2MiLCJ1c2VySWQiOiIxMjA1ODA5NjUzIn0=</vt:lpwstr>
  </property>
  <property fmtid="{D5CDD505-2E9C-101B-9397-08002B2CF9AE}" pid="15" name="KSOProductBuildVer">
    <vt:lpwstr>2052-12.1.0.25225</vt:lpwstr>
  </property>
  <property fmtid="{D5CDD505-2E9C-101B-9397-08002B2CF9AE}" pid="16" name="ICV">
    <vt:lpwstr>FA364210FC9C4AE08BF917BD856864A2_13</vt:lpwstr>
  </property>
</Properties>
</file>